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0B" w:rsidRPr="004F5DAC" w:rsidRDefault="007F7F0B" w:rsidP="007F7F0B">
      <w:pPr>
        <w:jc w:val="center"/>
        <w:rPr>
          <w:rFonts w:ascii="Arial" w:hAnsi="Arial" w:cs="Arial"/>
          <w:b/>
          <w:sz w:val="24"/>
          <w:szCs w:val="24"/>
        </w:rPr>
      </w:pPr>
      <w:r w:rsidRPr="004F5DAC">
        <w:rPr>
          <w:rFonts w:ascii="Arial" w:hAnsi="Arial" w:cs="Arial"/>
          <w:b/>
          <w:sz w:val="24"/>
          <w:szCs w:val="24"/>
        </w:rPr>
        <w:t>Yo</w:t>
      </w:r>
      <w:r w:rsidR="00BC3EA5" w:rsidRPr="004F5DAC">
        <w:rPr>
          <w:rFonts w:ascii="Arial" w:hAnsi="Arial" w:cs="Arial"/>
          <w:b/>
          <w:sz w:val="24"/>
          <w:szCs w:val="24"/>
        </w:rPr>
        <w:t>u</w:t>
      </w:r>
      <w:r w:rsidR="00C613B6" w:rsidRPr="004F5DAC">
        <w:rPr>
          <w:rFonts w:ascii="Arial" w:hAnsi="Arial" w:cs="Arial"/>
          <w:b/>
          <w:sz w:val="24"/>
          <w:szCs w:val="24"/>
        </w:rPr>
        <w:t xml:space="preserve">th Justice Management Board – </w:t>
      </w:r>
      <w:r w:rsidR="00915E9F" w:rsidRPr="004F5DAC">
        <w:rPr>
          <w:rFonts w:ascii="Arial" w:hAnsi="Arial" w:cs="Arial"/>
          <w:b/>
          <w:sz w:val="24"/>
          <w:szCs w:val="24"/>
        </w:rPr>
        <w:t>25</w:t>
      </w:r>
      <w:r w:rsidR="00915E9F" w:rsidRPr="004F5DAC">
        <w:rPr>
          <w:rFonts w:ascii="Arial" w:hAnsi="Arial" w:cs="Arial"/>
          <w:b/>
          <w:sz w:val="24"/>
          <w:szCs w:val="24"/>
          <w:vertAlign w:val="superscript"/>
        </w:rPr>
        <w:t>th</w:t>
      </w:r>
      <w:r w:rsidR="00915E9F" w:rsidRPr="004F5DAC">
        <w:rPr>
          <w:rFonts w:ascii="Arial" w:hAnsi="Arial" w:cs="Arial"/>
          <w:b/>
          <w:sz w:val="24"/>
          <w:szCs w:val="24"/>
        </w:rPr>
        <w:t xml:space="preserve"> </w:t>
      </w:r>
      <w:r w:rsidR="000910E6" w:rsidRPr="004F5DAC">
        <w:rPr>
          <w:rFonts w:ascii="Arial" w:hAnsi="Arial" w:cs="Arial"/>
          <w:b/>
          <w:sz w:val="24"/>
          <w:szCs w:val="24"/>
        </w:rPr>
        <w:t xml:space="preserve">September </w:t>
      </w:r>
      <w:r w:rsidR="004D4962" w:rsidRPr="004F5DAC">
        <w:rPr>
          <w:rFonts w:ascii="Arial" w:hAnsi="Arial" w:cs="Arial"/>
          <w:b/>
          <w:sz w:val="24"/>
          <w:szCs w:val="24"/>
        </w:rPr>
        <w:t>2015</w:t>
      </w:r>
    </w:p>
    <w:p w:rsidR="007F7F0B" w:rsidRPr="004F5DAC" w:rsidRDefault="007F7F0B" w:rsidP="007F7F0B">
      <w:pPr>
        <w:jc w:val="center"/>
        <w:rPr>
          <w:rFonts w:ascii="Arial" w:hAnsi="Arial" w:cs="Arial"/>
          <w:b/>
          <w:sz w:val="24"/>
          <w:szCs w:val="24"/>
        </w:rPr>
      </w:pPr>
      <w:r w:rsidRPr="004F5DAC">
        <w:rPr>
          <w:rFonts w:ascii="Arial" w:hAnsi="Arial" w:cs="Arial"/>
          <w:b/>
          <w:sz w:val="24"/>
          <w:szCs w:val="24"/>
        </w:rPr>
        <w:t>Lancashire YOT Performance Report</w:t>
      </w:r>
    </w:p>
    <w:p w:rsidR="00524D1C" w:rsidRPr="004F5DAC" w:rsidRDefault="00915E9F" w:rsidP="00924E6F">
      <w:pPr>
        <w:pStyle w:val="ListParagraph"/>
        <w:numPr>
          <w:ilvl w:val="0"/>
          <w:numId w:val="1"/>
        </w:numPr>
        <w:rPr>
          <w:rFonts w:ascii="Arial" w:hAnsi="Arial" w:cs="Arial"/>
          <w:b/>
        </w:rPr>
      </w:pPr>
      <w:r w:rsidRPr="004F5DAC">
        <w:rPr>
          <w:rFonts w:ascii="Arial" w:hAnsi="Arial" w:cs="Arial"/>
          <w:noProof/>
          <w:lang w:eastAsia="en-GB"/>
        </w:rPr>
        <w:drawing>
          <wp:anchor distT="0" distB="0" distL="114300" distR="114300" simplePos="0" relativeHeight="251706368" behindDoc="1" locked="0" layoutInCell="1" allowOverlap="1" wp14:anchorId="610183C9" wp14:editId="1229B002">
            <wp:simplePos x="0" y="0"/>
            <wp:positionH relativeFrom="margin">
              <wp:posOffset>-200025</wp:posOffset>
            </wp:positionH>
            <wp:positionV relativeFrom="paragraph">
              <wp:posOffset>200025</wp:posOffset>
            </wp:positionV>
            <wp:extent cx="6391275" cy="742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F0B" w:rsidRPr="004F5DAC">
        <w:rPr>
          <w:rFonts w:ascii="Arial" w:hAnsi="Arial" w:cs="Arial"/>
          <w:b/>
        </w:rPr>
        <w:t>National Indicator: First Time Entrants</w:t>
      </w:r>
    </w:p>
    <w:p w:rsidR="00297BB9" w:rsidRPr="004F5DAC" w:rsidRDefault="00297BB9">
      <w:pPr>
        <w:rPr>
          <w:rFonts w:ascii="Arial" w:hAnsi="Arial" w:cs="Arial"/>
        </w:rPr>
      </w:pPr>
    </w:p>
    <w:p w:rsidR="00F15ED1" w:rsidRPr="004F5DAC" w:rsidRDefault="00183B92">
      <w:pPr>
        <w:rPr>
          <w:rFonts w:ascii="Arial" w:hAnsi="Arial" w:cs="Arial"/>
        </w:rPr>
      </w:pPr>
      <w:r w:rsidRPr="004F5DAC">
        <w:rPr>
          <w:rFonts w:ascii="Arial" w:hAnsi="Arial" w:cs="Arial"/>
          <w:noProof/>
          <w:lang w:eastAsia="en-GB"/>
        </w:rPr>
        <w:drawing>
          <wp:anchor distT="0" distB="0" distL="114300" distR="114300" simplePos="0" relativeHeight="251707392" behindDoc="1" locked="0" layoutInCell="1" allowOverlap="1" wp14:anchorId="4D67FDCD" wp14:editId="29807206">
            <wp:simplePos x="0" y="0"/>
            <wp:positionH relativeFrom="column">
              <wp:posOffset>-189230</wp:posOffset>
            </wp:positionH>
            <wp:positionV relativeFrom="paragraph">
              <wp:posOffset>372745</wp:posOffset>
            </wp:positionV>
            <wp:extent cx="6370651" cy="2981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0651" cy="2981325"/>
                    </a:xfrm>
                    <a:prstGeom prst="rect">
                      <a:avLst/>
                    </a:prstGeom>
                    <a:noFill/>
                  </pic:spPr>
                </pic:pic>
              </a:graphicData>
            </a:graphic>
            <wp14:sizeRelH relativeFrom="page">
              <wp14:pctWidth>0</wp14:pctWidth>
            </wp14:sizeRelH>
            <wp14:sizeRelV relativeFrom="page">
              <wp14:pctHeight>0</wp14:pctHeight>
            </wp14:sizeRelV>
          </wp:anchor>
        </w:drawing>
      </w:r>
    </w:p>
    <w:p w:rsidR="00F15ED1" w:rsidRPr="004F5DAC" w:rsidRDefault="00F15ED1">
      <w:pPr>
        <w:rPr>
          <w:rFonts w:ascii="Arial" w:hAnsi="Arial" w:cs="Arial"/>
        </w:rPr>
      </w:pPr>
    </w:p>
    <w:p w:rsidR="00F15ED1" w:rsidRPr="004F5DAC" w:rsidRDefault="00F15ED1">
      <w:pPr>
        <w:rPr>
          <w:rFonts w:ascii="Arial" w:hAnsi="Arial" w:cs="Arial"/>
        </w:rPr>
      </w:pPr>
    </w:p>
    <w:p w:rsidR="00F15ED1" w:rsidRPr="004F5DAC" w:rsidRDefault="00F15ED1">
      <w:pPr>
        <w:rPr>
          <w:rFonts w:ascii="Arial" w:hAnsi="Arial" w:cs="Arial"/>
        </w:rPr>
      </w:pPr>
    </w:p>
    <w:p w:rsidR="00F15ED1" w:rsidRPr="004F5DAC" w:rsidRDefault="00F15ED1">
      <w:pPr>
        <w:rPr>
          <w:rFonts w:ascii="Arial" w:hAnsi="Arial" w:cs="Arial"/>
        </w:rPr>
      </w:pPr>
    </w:p>
    <w:p w:rsidR="00F15ED1" w:rsidRPr="004F5DAC" w:rsidRDefault="00F15ED1">
      <w:pPr>
        <w:rPr>
          <w:rFonts w:ascii="Arial" w:hAnsi="Arial" w:cs="Arial"/>
        </w:rPr>
      </w:pPr>
    </w:p>
    <w:p w:rsidR="00F15ED1" w:rsidRPr="004F5DAC" w:rsidRDefault="00F15ED1">
      <w:pPr>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387891" w:rsidRPr="004F5DAC" w:rsidTr="00387891">
        <w:trPr>
          <w:trHeight w:val="2417"/>
        </w:trPr>
        <w:tc>
          <w:tcPr>
            <w:tcW w:w="9464" w:type="dxa"/>
          </w:tcPr>
          <w:p w:rsidR="00387891" w:rsidRPr="004F5DAC" w:rsidRDefault="00387891">
            <w:pPr>
              <w:rPr>
                <w:rFonts w:ascii="Arial" w:hAnsi="Arial" w:cs="Arial"/>
              </w:rPr>
            </w:pPr>
          </w:p>
          <w:p w:rsidR="00387891" w:rsidRPr="004F5DAC" w:rsidRDefault="00915E9F">
            <w:pPr>
              <w:rPr>
                <w:rFonts w:ascii="Arial" w:hAnsi="Arial" w:cs="Arial"/>
                <w:sz w:val="16"/>
                <w:szCs w:val="16"/>
              </w:rPr>
            </w:pPr>
            <w:r w:rsidRPr="004F5DAC">
              <w:rPr>
                <w:rFonts w:ascii="Arial" w:hAnsi="Arial" w:cs="Arial"/>
                <w:noProof/>
                <w:lang w:eastAsia="en-GB"/>
              </w:rPr>
              <w:drawing>
                <wp:anchor distT="0" distB="0" distL="114300" distR="114300" simplePos="0" relativeHeight="251708416" behindDoc="1" locked="0" layoutInCell="1" allowOverlap="1" wp14:anchorId="0BD9B997" wp14:editId="3AB19ACA">
                  <wp:simplePos x="0" y="0"/>
                  <wp:positionH relativeFrom="column">
                    <wp:posOffset>-258445</wp:posOffset>
                  </wp:positionH>
                  <wp:positionV relativeFrom="paragraph">
                    <wp:posOffset>988695</wp:posOffset>
                  </wp:positionV>
                  <wp:extent cx="6372098" cy="30194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098" cy="3019425"/>
                          </a:xfrm>
                          <a:prstGeom prst="rect">
                            <a:avLst/>
                          </a:prstGeom>
                          <a:noFill/>
                        </pic:spPr>
                      </pic:pic>
                    </a:graphicData>
                  </a:graphic>
                  <wp14:sizeRelH relativeFrom="page">
                    <wp14:pctWidth>0</wp14:pctWidth>
                  </wp14:sizeRelH>
                  <wp14:sizeRelV relativeFrom="page">
                    <wp14:pctHeight>0</wp14:pctHeight>
                  </wp14:sizeRelV>
                </wp:anchor>
              </w:drawing>
            </w:r>
          </w:p>
        </w:tc>
      </w:tr>
      <w:tr w:rsidR="00387891" w:rsidRPr="004F5DAC" w:rsidTr="00387891">
        <w:trPr>
          <w:trHeight w:val="2417"/>
        </w:trPr>
        <w:tc>
          <w:tcPr>
            <w:tcW w:w="9464" w:type="dxa"/>
          </w:tcPr>
          <w:p w:rsidR="00387891" w:rsidRPr="004F5DAC" w:rsidRDefault="00387891" w:rsidP="00D77D2A">
            <w:pPr>
              <w:rPr>
                <w:rFonts w:ascii="Arial" w:hAnsi="Arial" w:cs="Arial"/>
              </w:rPr>
            </w:pPr>
          </w:p>
        </w:tc>
      </w:tr>
    </w:tbl>
    <w:p w:rsidR="00382B46" w:rsidRPr="004F5DAC" w:rsidRDefault="00382B46">
      <w:pPr>
        <w:rPr>
          <w:rFonts w:ascii="Arial" w:hAnsi="Arial" w:cs="Arial"/>
        </w:rPr>
      </w:pPr>
    </w:p>
    <w:p w:rsidR="00382B46" w:rsidRPr="004F5DAC" w:rsidRDefault="00382B46">
      <w:pPr>
        <w:rPr>
          <w:rFonts w:ascii="Arial" w:hAnsi="Arial" w:cs="Arial"/>
        </w:rPr>
      </w:pPr>
    </w:p>
    <w:p w:rsidR="00382B46" w:rsidRPr="004F5DAC" w:rsidRDefault="00382B46">
      <w:pPr>
        <w:rPr>
          <w:rFonts w:ascii="Arial" w:hAnsi="Arial" w:cs="Arial"/>
        </w:rPr>
      </w:pPr>
    </w:p>
    <w:p w:rsidR="00382B46" w:rsidRPr="004F5DAC" w:rsidRDefault="00183B92">
      <w:pPr>
        <w:rPr>
          <w:rFonts w:ascii="Arial" w:hAnsi="Arial" w:cs="Arial"/>
        </w:rPr>
      </w:pPr>
      <w:r w:rsidRPr="004F5DAC">
        <w:rPr>
          <w:rFonts w:ascii="Arial" w:hAnsi="Arial" w:cs="Arial"/>
          <w:noProof/>
          <w:lang w:eastAsia="en-GB"/>
        </w:rPr>
        <w:drawing>
          <wp:anchor distT="0" distB="0" distL="114300" distR="114300" simplePos="0" relativeHeight="251709440" behindDoc="1" locked="0" layoutInCell="1" allowOverlap="1" wp14:anchorId="24B09635" wp14:editId="257F25F4">
            <wp:simplePos x="0" y="0"/>
            <wp:positionH relativeFrom="margin">
              <wp:posOffset>-161925</wp:posOffset>
            </wp:positionH>
            <wp:positionV relativeFrom="paragraph">
              <wp:posOffset>244475</wp:posOffset>
            </wp:positionV>
            <wp:extent cx="6348086" cy="866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6712" cy="874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32B4" w:rsidRPr="004F5DAC" w:rsidRDefault="009232B4" w:rsidP="00924E6F">
      <w:pPr>
        <w:rPr>
          <w:rFonts w:ascii="Arial" w:hAnsi="Arial" w:cs="Arial"/>
        </w:rPr>
      </w:pPr>
    </w:p>
    <w:p w:rsidR="00915E9F" w:rsidRPr="004F5DAC" w:rsidRDefault="00915E9F" w:rsidP="00924E6F">
      <w:pPr>
        <w:rPr>
          <w:rFonts w:ascii="Arial" w:hAnsi="Arial" w:cs="Arial"/>
          <w:b/>
        </w:rPr>
      </w:pPr>
    </w:p>
    <w:p w:rsidR="00915E9F" w:rsidRPr="004F5DAC" w:rsidRDefault="00915E9F" w:rsidP="00924E6F">
      <w:pPr>
        <w:rPr>
          <w:rFonts w:ascii="Arial" w:hAnsi="Arial" w:cs="Arial"/>
          <w:b/>
        </w:rPr>
      </w:pPr>
    </w:p>
    <w:p w:rsidR="00EF4AD0" w:rsidRDefault="00EF4AD0" w:rsidP="00924E6F">
      <w:pPr>
        <w:rPr>
          <w:rFonts w:ascii="Arial" w:hAnsi="Arial" w:cs="Arial"/>
          <w:b/>
        </w:rPr>
      </w:pPr>
    </w:p>
    <w:p w:rsidR="004F5DAC" w:rsidRPr="004F5DAC" w:rsidRDefault="004F5DAC" w:rsidP="00924E6F">
      <w:pPr>
        <w:rPr>
          <w:rFonts w:ascii="Arial" w:hAnsi="Arial" w:cs="Arial"/>
          <w:b/>
        </w:rPr>
      </w:pPr>
    </w:p>
    <w:p w:rsidR="00C15753" w:rsidRPr="004F5DAC" w:rsidRDefault="00C15753" w:rsidP="00924E6F">
      <w:pPr>
        <w:rPr>
          <w:rFonts w:ascii="Arial" w:hAnsi="Arial" w:cs="Arial"/>
          <w:b/>
        </w:rPr>
      </w:pPr>
      <w:r w:rsidRPr="004F5DAC">
        <w:rPr>
          <w:rFonts w:ascii="Arial" w:hAnsi="Arial" w:cs="Arial"/>
          <w:b/>
        </w:rPr>
        <w:lastRenderedPageBreak/>
        <w:t>Data Analysis</w:t>
      </w:r>
    </w:p>
    <w:p w:rsidR="003F47C1" w:rsidRPr="004F5DAC" w:rsidRDefault="00C15753" w:rsidP="00DF7203">
      <w:pPr>
        <w:jc w:val="both"/>
        <w:rPr>
          <w:rFonts w:ascii="Arial" w:hAnsi="Arial" w:cs="Arial"/>
        </w:rPr>
      </w:pPr>
      <w:r w:rsidRPr="004F5DAC">
        <w:rPr>
          <w:rFonts w:ascii="Arial" w:hAnsi="Arial" w:cs="Arial"/>
        </w:rPr>
        <w:t>The underlying trend for FTEs has been reducing since 2007</w:t>
      </w:r>
      <w:r w:rsidR="00E233C2" w:rsidRPr="004F5DAC">
        <w:rPr>
          <w:rFonts w:ascii="Arial" w:hAnsi="Arial" w:cs="Arial"/>
        </w:rPr>
        <w:t>.</w:t>
      </w:r>
      <w:r w:rsidRPr="004F5DAC">
        <w:rPr>
          <w:rFonts w:ascii="Arial" w:hAnsi="Arial" w:cs="Arial"/>
        </w:rPr>
        <w:t xml:space="preserve">  This is a t</w:t>
      </w:r>
      <w:r w:rsidR="00E233C2" w:rsidRPr="004F5DAC">
        <w:rPr>
          <w:rFonts w:ascii="Arial" w:hAnsi="Arial" w:cs="Arial"/>
        </w:rPr>
        <w:t>rend which has been mirrored by</w:t>
      </w:r>
      <w:r w:rsidRPr="004F5DAC">
        <w:rPr>
          <w:rFonts w:ascii="Arial" w:hAnsi="Arial" w:cs="Arial"/>
        </w:rPr>
        <w:t xml:space="preserve"> all </w:t>
      </w:r>
      <w:r w:rsidR="00E233C2" w:rsidRPr="004F5DAC">
        <w:rPr>
          <w:rFonts w:ascii="Arial" w:hAnsi="Arial" w:cs="Arial"/>
        </w:rPr>
        <w:t xml:space="preserve">the </w:t>
      </w:r>
      <w:r w:rsidRPr="004F5DAC">
        <w:rPr>
          <w:rFonts w:ascii="Arial" w:hAnsi="Arial" w:cs="Arial"/>
        </w:rPr>
        <w:t xml:space="preserve">comparators in the same period.  The last quarter has seen a </w:t>
      </w:r>
      <w:r w:rsidR="00864CAE" w:rsidRPr="004F5DAC">
        <w:rPr>
          <w:rFonts w:ascii="Arial" w:hAnsi="Arial" w:cs="Arial"/>
        </w:rPr>
        <w:t>slight</w:t>
      </w:r>
      <w:r w:rsidR="00627F4E" w:rsidRPr="004F5DAC">
        <w:rPr>
          <w:rFonts w:ascii="Arial" w:hAnsi="Arial" w:cs="Arial"/>
        </w:rPr>
        <w:t xml:space="preserve"> </w:t>
      </w:r>
      <w:r w:rsidR="00450165" w:rsidRPr="004F5DAC">
        <w:rPr>
          <w:rFonts w:ascii="Arial" w:hAnsi="Arial" w:cs="Arial"/>
        </w:rPr>
        <w:t>de</w:t>
      </w:r>
      <w:r w:rsidR="00864CAE" w:rsidRPr="004F5DAC">
        <w:rPr>
          <w:rFonts w:ascii="Arial" w:hAnsi="Arial" w:cs="Arial"/>
        </w:rPr>
        <w:t>crease</w:t>
      </w:r>
      <w:r w:rsidRPr="004F5DAC">
        <w:rPr>
          <w:rFonts w:ascii="Arial" w:hAnsi="Arial" w:cs="Arial"/>
        </w:rPr>
        <w:t xml:space="preserve"> in the FTE </w:t>
      </w:r>
      <w:r w:rsidR="00606D58" w:rsidRPr="004F5DAC">
        <w:rPr>
          <w:rFonts w:ascii="Arial" w:hAnsi="Arial" w:cs="Arial"/>
        </w:rPr>
        <w:t xml:space="preserve">rate from </w:t>
      </w:r>
      <w:r w:rsidR="00450165" w:rsidRPr="004F5DAC">
        <w:rPr>
          <w:rFonts w:ascii="Arial" w:hAnsi="Arial" w:cs="Arial"/>
        </w:rPr>
        <w:t>369 to 335</w:t>
      </w:r>
      <w:r w:rsidR="00825B02" w:rsidRPr="004F5DAC">
        <w:rPr>
          <w:rFonts w:ascii="Arial" w:hAnsi="Arial" w:cs="Arial"/>
        </w:rPr>
        <w:t xml:space="preserve"> </w:t>
      </w:r>
      <w:r w:rsidR="00606D58" w:rsidRPr="004F5DAC">
        <w:rPr>
          <w:rFonts w:ascii="Arial" w:hAnsi="Arial" w:cs="Arial"/>
        </w:rPr>
        <w:t xml:space="preserve">for the period </w:t>
      </w:r>
      <w:r w:rsidR="00450165" w:rsidRPr="004F5DAC">
        <w:rPr>
          <w:rFonts w:ascii="Arial" w:hAnsi="Arial" w:cs="Arial"/>
        </w:rPr>
        <w:t>April</w:t>
      </w:r>
      <w:r w:rsidR="00864CAE" w:rsidRPr="004F5DAC">
        <w:rPr>
          <w:rFonts w:ascii="Arial" w:hAnsi="Arial" w:cs="Arial"/>
        </w:rPr>
        <w:t xml:space="preserve"> 2014</w:t>
      </w:r>
      <w:r w:rsidR="007975B3" w:rsidRPr="004F5DAC">
        <w:rPr>
          <w:rFonts w:ascii="Arial" w:hAnsi="Arial" w:cs="Arial"/>
        </w:rPr>
        <w:t xml:space="preserve"> </w:t>
      </w:r>
      <w:r w:rsidR="00606D58" w:rsidRPr="004F5DAC">
        <w:rPr>
          <w:rFonts w:ascii="Arial" w:hAnsi="Arial" w:cs="Arial"/>
        </w:rPr>
        <w:t xml:space="preserve">to </w:t>
      </w:r>
      <w:r w:rsidR="00450165" w:rsidRPr="004F5DAC">
        <w:rPr>
          <w:rFonts w:ascii="Arial" w:hAnsi="Arial" w:cs="Arial"/>
        </w:rPr>
        <w:t>June</w:t>
      </w:r>
      <w:r w:rsidR="00606D58" w:rsidRPr="004F5DAC">
        <w:rPr>
          <w:rFonts w:ascii="Arial" w:hAnsi="Arial" w:cs="Arial"/>
        </w:rPr>
        <w:t xml:space="preserve"> </w:t>
      </w:r>
      <w:r w:rsidR="007975B3" w:rsidRPr="004F5DAC">
        <w:rPr>
          <w:rFonts w:ascii="Arial" w:hAnsi="Arial" w:cs="Arial"/>
        </w:rPr>
        <w:t>20</w:t>
      </w:r>
      <w:r w:rsidR="00450165" w:rsidRPr="004F5DAC">
        <w:rPr>
          <w:rFonts w:ascii="Arial" w:hAnsi="Arial" w:cs="Arial"/>
        </w:rPr>
        <w:t>15</w:t>
      </w:r>
      <w:r w:rsidR="00606D58" w:rsidRPr="004F5DAC">
        <w:rPr>
          <w:rFonts w:ascii="Arial" w:hAnsi="Arial" w:cs="Arial"/>
        </w:rPr>
        <w:t xml:space="preserve">.  </w:t>
      </w:r>
      <w:r w:rsidR="007975B3" w:rsidRPr="004F5DAC">
        <w:rPr>
          <w:rFonts w:ascii="Arial" w:hAnsi="Arial" w:cs="Arial"/>
        </w:rPr>
        <w:t xml:space="preserve">This </w:t>
      </w:r>
      <w:r w:rsidR="00E233C2" w:rsidRPr="004F5DAC">
        <w:rPr>
          <w:rFonts w:ascii="Arial" w:hAnsi="Arial" w:cs="Arial"/>
        </w:rPr>
        <w:t xml:space="preserve">now </w:t>
      </w:r>
      <w:r w:rsidR="005751C2" w:rsidRPr="004F5DAC">
        <w:rPr>
          <w:rFonts w:ascii="Arial" w:hAnsi="Arial" w:cs="Arial"/>
        </w:rPr>
        <w:t xml:space="preserve">places LYOT within the </w:t>
      </w:r>
      <w:r w:rsidR="00E233C2" w:rsidRPr="004F5DAC">
        <w:rPr>
          <w:rFonts w:ascii="Arial" w:hAnsi="Arial" w:cs="Arial"/>
        </w:rPr>
        <w:t>2</w:t>
      </w:r>
      <w:r w:rsidR="00E233C2" w:rsidRPr="004F5DAC">
        <w:rPr>
          <w:rFonts w:ascii="Arial" w:hAnsi="Arial" w:cs="Arial"/>
          <w:vertAlign w:val="superscript"/>
        </w:rPr>
        <w:t>nd</w:t>
      </w:r>
      <w:r w:rsidR="00E233C2" w:rsidRPr="004F5DAC">
        <w:rPr>
          <w:rFonts w:ascii="Arial" w:hAnsi="Arial" w:cs="Arial"/>
        </w:rPr>
        <w:t xml:space="preserve"> </w:t>
      </w:r>
      <w:r w:rsidR="005751C2" w:rsidRPr="004F5DAC">
        <w:rPr>
          <w:rFonts w:ascii="Arial" w:hAnsi="Arial" w:cs="Arial"/>
        </w:rPr>
        <w:t xml:space="preserve">quartile – ranked </w:t>
      </w:r>
      <w:r w:rsidR="00450165" w:rsidRPr="004F5DAC">
        <w:rPr>
          <w:rFonts w:ascii="Arial" w:hAnsi="Arial" w:cs="Arial"/>
        </w:rPr>
        <w:t>37</w:t>
      </w:r>
      <w:r w:rsidR="00F1561A" w:rsidRPr="004F5DAC">
        <w:rPr>
          <w:rFonts w:ascii="Arial" w:hAnsi="Arial" w:cs="Arial"/>
          <w:vertAlign w:val="superscript"/>
        </w:rPr>
        <w:t>th</w:t>
      </w:r>
      <w:r w:rsidR="00F1561A" w:rsidRPr="004F5DAC">
        <w:rPr>
          <w:rFonts w:ascii="Arial" w:hAnsi="Arial" w:cs="Arial"/>
        </w:rPr>
        <w:t xml:space="preserve"> </w:t>
      </w:r>
      <w:r w:rsidR="005751C2" w:rsidRPr="004F5DAC">
        <w:rPr>
          <w:rFonts w:ascii="Arial" w:hAnsi="Arial" w:cs="Arial"/>
        </w:rPr>
        <w:t xml:space="preserve">out of 140 YOTs.  </w:t>
      </w:r>
    </w:p>
    <w:p w:rsidR="00450165" w:rsidRPr="004F5DAC" w:rsidRDefault="00450165" w:rsidP="00DF7203">
      <w:pPr>
        <w:jc w:val="both"/>
        <w:rPr>
          <w:rFonts w:ascii="Arial" w:hAnsi="Arial" w:cs="Arial"/>
        </w:rPr>
      </w:pPr>
      <w:r w:rsidRPr="004F5DAC">
        <w:rPr>
          <w:rFonts w:ascii="Arial" w:hAnsi="Arial" w:cs="Arial"/>
        </w:rPr>
        <w:t>LYOT's performance is better than all 3 comparators – North West, Family and National.</w:t>
      </w:r>
    </w:p>
    <w:p w:rsidR="008B5A7B" w:rsidRPr="004F5DAC" w:rsidRDefault="005751C2" w:rsidP="00DF7203">
      <w:pPr>
        <w:jc w:val="both"/>
        <w:rPr>
          <w:rFonts w:ascii="Arial" w:hAnsi="Arial" w:cs="Arial"/>
        </w:rPr>
      </w:pPr>
      <w:r w:rsidRPr="004F5DAC">
        <w:rPr>
          <w:rFonts w:ascii="Arial" w:hAnsi="Arial" w:cs="Arial"/>
        </w:rPr>
        <w:t xml:space="preserve">All </w:t>
      </w:r>
      <w:r w:rsidR="00825B02" w:rsidRPr="004F5DAC">
        <w:rPr>
          <w:rFonts w:ascii="Arial" w:hAnsi="Arial" w:cs="Arial"/>
        </w:rPr>
        <w:t>L</w:t>
      </w:r>
      <w:r w:rsidRPr="004F5DAC">
        <w:rPr>
          <w:rFonts w:ascii="Arial" w:hAnsi="Arial" w:cs="Arial"/>
        </w:rPr>
        <w:t xml:space="preserve">YOT </w:t>
      </w:r>
      <w:r w:rsidR="00825B02" w:rsidRPr="004F5DAC">
        <w:rPr>
          <w:rFonts w:ascii="Arial" w:hAnsi="Arial" w:cs="Arial"/>
        </w:rPr>
        <w:t>teams</w:t>
      </w:r>
      <w:r w:rsidRPr="004F5DAC">
        <w:rPr>
          <w:rFonts w:ascii="Arial" w:hAnsi="Arial" w:cs="Arial"/>
        </w:rPr>
        <w:t xml:space="preserve"> have </w:t>
      </w:r>
      <w:r w:rsidR="00825B02" w:rsidRPr="004F5DAC">
        <w:rPr>
          <w:rFonts w:ascii="Arial" w:hAnsi="Arial" w:cs="Arial"/>
        </w:rPr>
        <w:t xml:space="preserve">seen a </w:t>
      </w:r>
      <w:r w:rsidR="00627F4E" w:rsidRPr="004F5DAC">
        <w:rPr>
          <w:rFonts w:ascii="Arial" w:hAnsi="Arial" w:cs="Arial"/>
        </w:rPr>
        <w:t>decrease</w:t>
      </w:r>
      <w:r w:rsidR="00825B02" w:rsidRPr="004F5DAC">
        <w:rPr>
          <w:rFonts w:ascii="Arial" w:hAnsi="Arial" w:cs="Arial"/>
        </w:rPr>
        <w:t xml:space="preserve"> </w:t>
      </w:r>
      <w:r w:rsidRPr="004F5DAC">
        <w:rPr>
          <w:rFonts w:ascii="Arial" w:hAnsi="Arial" w:cs="Arial"/>
        </w:rPr>
        <w:t>in the FTE rate</w:t>
      </w:r>
      <w:r w:rsidR="00825B02" w:rsidRPr="004F5DAC">
        <w:rPr>
          <w:rFonts w:ascii="Arial" w:hAnsi="Arial" w:cs="Arial"/>
        </w:rPr>
        <w:t xml:space="preserve"> for the current quarter</w:t>
      </w:r>
      <w:r w:rsidR="00450165" w:rsidRPr="004F5DAC">
        <w:rPr>
          <w:rFonts w:ascii="Arial" w:hAnsi="Arial" w:cs="Arial"/>
        </w:rPr>
        <w:t xml:space="preserve"> with the exception of the East Team</w:t>
      </w:r>
      <w:r w:rsidR="00B656AC" w:rsidRPr="004F5DAC">
        <w:rPr>
          <w:rFonts w:ascii="Arial" w:hAnsi="Arial" w:cs="Arial"/>
        </w:rPr>
        <w:t>.</w:t>
      </w:r>
      <w:r w:rsidR="00BB569C" w:rsidRPr="004F5DAC">
        <w:rPr>
          <w:rFonts w:ascii="Arial" w:hAnsi="Arial" w:cs="Arial"/>
        </w:rPr>
        <w:t xml:space="preserve">  </w:t>
      </w:r>
    </w:p>
    <w:p w:rsidR="00F4207B" w:rsidRPr="004F5DAC" w:rsidRDefault="00F4207B" w:rsidP="00DF7203">
      <w:pPr>
        <w:jc w:val="both"/>
        <w:rPr>
          <w:rFonts w:ascii="Arial" w:hAnsi="Arial" w:cs="Arial"/>
        </w:rPr>
      </w:pPr>
    </w:p>
    <w:p w:rsidR="00924E6F" w:rsidRPr="004F5DAC" w:rsidRDefault="00924E6F">
      <w:pPr>
        <w:rPr>
          <w:rFonts w:ascii="Arial" w:hAnsi="Arial" w:cs="Arial"/>
        </w:rPr>
      </w:pPr>
    </w:p>
    <w:p w:rsidR="002004FB" w:rsidRPr="004F5DAC" w:rsidRDefault="002004FB">
      <w:pPr>
        <w:rPr>
          <w:rFonts w:ascii="Arial" w:hAnsi="Arial" w:cs="Arial"/>
        </w:rPr>
      </w:pPr>
    </w:p>
    <w:p w:rsidR="00EC323A" w:rsidRPr="004F5DAC" w:rsidRDefault="00EC323A">
      <w:pPr>
        <w:rPr>
          <w:rFonts w:ascii="Arial" w:hAnsi="Arial" w:cs="Arial"/>
        </w:rPr>
      </w:pPr>
      <w:r w:rsidRPr="004F5DAC">
        <w:rPr>
          <w:rFonts w:ascii="Arial" w:hAnsi="Arial" w:cs="Arial"/>
        </w:rPr>
        <w:br w:type="page"/>
      </w:r>
    </w:p>
    <w:p w:rsidR="00924E6F" w:rsidRPr="004F5DAC" w:rsidRDefault="001203F0" w:rsidP="00924E6F">
      <w:pPr>
        <w:pStyle w:val="ListParagraph"/>
        <w:numPr>
          <w:ilvl w:val="0"/>
          <w:numId w:val="1"/>
        </w:numPr>
        <w:rPr>
          <w:rFonts w:ascii="Arial" w:hAnsi="Arial" w:cs="Arial"/>
          <w:b/>
        </w:rPr>
      </w:pPr>
      <w:r w:rsidRPr="004F5DAC">
        <w:rPr>
          <w:rFonts w:ascii="Arial" w:hAnsi="Arial" w:cs="Arial"/>
          <w:b/>
          <w:noProof/>
          <w:lang w:eastAsia="en-GB"/>
        </w:rPr>
        <w:lastRenderedPageBreak/>
        <w:drawing>
          <wp:anchor distT="0" distB="0" distL="114300" distR="114300" simplePos="0" relativeHeight="251710464" behindDoc="1" locked="0" layoutInCell="1" allowOverlap="1" wp14:anchorId="534FC96F" wp14:editId="36EF7E3E">
            <wp:simplePos x="0" y="0"/>
            <wp:positionH relativeFrom="margin">
              <wp:posOffset>-152400</wp:posOffset>
            </wp:positionH>
            <wp:positionV relativeFrom="paragraph">
              <wp:posOffset>180975</wp:posOffset>
            </wp:positionV>
            <wp:extent cx="6438900" cy="838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E6F" w:rsidRPr="004F5DAC">
        <w:rPr>
          <w:rFonts w:ascii="Arial" w:hAnsi="Arial" w:cs="Arial"/>
          <w:b/>
        </w:rPr>
        <w:t xml:space="preserve">National Indicator: </w:t>
      </w:r>
      <w:r w:rsidR="009E7260" w:rsidRPr="004F5DAC">
        <w:rPr>
          <w:rFonts w:ascii="Arial" w:hAnsi="Arial" w:cs="Arial"/>
          <w:b/>
        </w:rPr>
        <w:t>Recidivism</w:t>
      </w:r>
    </w:p>
    <w:p w:rsidR="001A05FE" w:rsidRPr="004F5DAC" w:rsidRDefault="001A05FE" w:rsidP="001A05FE">
      <w:pPr>
        <w:rPr>
          <w:rFonts w:ascii="Arial" w:hAnsi="Arial" w:cs="Arial"/>
          <w:b/>
        </w:rPr>
      </w:pPr>
    </w:p>
    <w:p w:rsidR="001203F0" w:rsidRPr="004F5DAC" w:rsidRDefault="001203F0" w:rsidP="001A05FE">
      <w:pPr>
        <w:rPr>
          <w:rFonts w:ascii="Arial" w:hAnsi="Arial" w:cs="Arial"/>
          <w:b/>
        </w:rPr>
      </w:pPr>
    </w:p>
    <w:p w:rsidR="001203F0" w:rsidRPr="004F5DAC" w:rsidRDefault="00FF3B0B" w:rsidP="001A05FE">
      <w:pPr>
        <w:rPr>
          <w:rFonts w:ascii="Arial" w:hAnsi="Arial" w:cs="Arial"/>
          <w:b/>
        </w:rPr>
      </w:pPr>
      <w:r w:rsidRPr="004F5DAC">
        <w:rPr>
          <w:rFonts w:ascii="Arial" w:hAnsi="Arial" w:cs="Arial"/>
          <w:noProof/>
          <w:lang w:eastAsia="en-GB"/>
        </w:rPr>
        <w:drawing>
          <wp:anchor distT="0" distB="0" distL="114300" distR="114300" simplePos="0" relativeHeight="251712512" behindDoc="1" locked="0" layoutInCell="1" allowOverlap="1" wp14:anchorId="0D7E2F5E" wp14:editId="3CEBF3C7">
            <wp:simplePos x="0" y="0"/>
            <wp:positionH relativeFrom="column">
              <wp:posOffset>-142875</wp:posOffset>
            </wp:positionH>
            <wp:positionV relativeFrom="paragraph">
              <wp:posOffset>2456815</wp:posOffset>
            </wp:positionV>
            <wp:extent cx="6353175" cy="2742982"/>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6249" cy="2748627"/>
                    </a:xfrm>
                    <a:prstGeom prst="rect">
                      <a:avLst/>
                    </a:prstGeom>
                    <a:noFill/>
                  </pic:spPr>
                </pic:pic>
              </a:graphicData>
            </a:graphic>
            <wp14:sizeRelH relativeFrom="page">
              <wp14:pctWidth>0</wp14:pctWidth>
            </wp14:sizeRelH>
            <wp14:sizeRelV relativeFrom="page">
              <wp14:pctHeight>0</wp14:pctHeight>
            </wp14:sizeRelV>
          </wp:anchor>
        </w:drawing>
      </w:r>
      <w:r w:rsidR="001203F0" w:rsidRPr="004F5DAC">
        <w:rPr>
          <w:rFonts w:ascii="Arial" w:hAnsi="Arial" w:cs="Arial"/>
          <w:b/>
          <w:noProof/>
          <w:lang w:eastAsia="en-GB"/>
        </w:rPr>
        <w:drawing>
          <wp:anchor distT="0" distB="0" distL="114300" distR="114300" simplePos="0" relativeHeight="251711488" behindDoc="1" locked="0" layoutInCell="1" allowOverlap="1" wp14:anchorId="42F3EFD6" wp14:editId="2344B6B7">
            <wp:simplePos x="0" y="0"/>
            <wp:positionH relativeFrom="margin">
              <wp:posOffset>-123825</wp:posOffset>
            </wp:positionH>
            <wp:positionV relativeFrom="paragraph">
              <wp:posOffset>66040</wp:posOffset>
            </wp:positionV>
            <wp:extent cx="6353175" cy="235204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3388" cy="2355821"/>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6D4F00" w:rsidRPr="004F5DAC" w:rsidTr="006D4F00">
        <w:trPr>
          <w:trHeight w:val="2417"/>
        </w:trPr>
        <w:tc>
          <w:tcPr>
            <w:tcW w:w="9322" w:type="dxa"/>
          </w:tcPr>
          <w:p w:rsidR="00D35425" w:rsidRPr="004F5DAC" w:rsidRDefault="00591B4E" w:rsidP="00591B4E">
            <w:pPr>
              <w:tabs>
                <w:tab w:val="center" w:pos="4553"/>
              </w:tabs>
              <w:rPr>
                <w:rFonts w:ascii="Arial" w:hAnsi="Arial" w:cs="Arial"/>
                <w:b/>
              </w:rPr>
            </w:pPr>
            <w:r w:rsidRPr="004F5DAC">
              <w:rPr>
                <w:rFonts w:ascii="Arial" w:hAnsi="Arial" w:cs="Arial"/>
                <w:b/>
              </w:rPr>
              <w:tab/>
            </w:r>
          </w:p>
          <w:p w:rsidR="006D4F00" w:rsidRPr="004F5DAC" w:rsidRDefault="006D4F00" w:rsidP="006D4F00">
            <w:pPr>
              <w:jc w:val="center"/>
              <w:rPr>
                <w:rFonts w:ascii="Arial" w:hAnsi="Arial" w:cs="Arial"/>
              </w:rPr>
            </w:pPr>
          </w:p>
          <w:p w:rsidR="006D4F00" w:rsidRPr="004F5DAC" w:rsidRDefault="006D4F00" w:rsidP="00772E2A">
            <w:pPr>
              <w:rPr>
                <w:rFonts w:ascii="Arial" w:hAnsi="Arial" w:cs="Arial"/>
                <w:sz w:val="16"/>
                <w:szCs w:val="16"/>
              </w:rPr>
            </w:pPr>
          </w:p>
        </w:tc>
      </w:tr>
      <w:tr w:rsidR="006D4F00" w:rsidRPr="004F5DAC" w:rsidTr="006D4F00">
        <w:trPr>
          <w:trHeight w:val="2417"/>
        </w:trPr>
        <w:tc>
          <w:tcPr>
            <w:tcW w:w="9322" w:type="dxa"/>
          </w:tcPr>
          <w:p w:rsidR="006D4F00" w:rsidRPr="004F5DAC" w:rsidRDefault="006D4F00" w:rsidP="009E7260">
            <w:pPr>
              <w:rPr>
                <w:rFonts w:ascii="Arial" w:hAnsi="Arial" w:cs="Arial"/>
                <w:noProof/>
                <w:lang w:eastAsia="en-GB"/>
              </w:rPr>
            </w:pPr>
          </w:p>
          <w:p w:rsidR="006D4F00" w:rsidRPr="004F5DAC" w:rsidRDefault="006D4F00" w:rsidP="009E7260">
            <w:pPr>
              <w:rPr>
                <w:rFonts w:ascii="Arial" w:hAnsi="Arial" w:cs="Arial"/>
                <w:noProof/>
                <w:sz w:val="16"/>
                <w:szCs w:val="16"/>
                <w:lang w:eastAsia="en-GB"/>
              </w:rPr>
            </w:pPr>
          </w:p>
        </w:tc>
      </w:tr>
      <w:tr w:rsidR="006D4F00" w:rsidRPr="004F5DAC" w:rsidTr="006D4F00">
        <w:trPr>
          <w:trHeight w:val="2417"/>
        </w:trPr>
        <w:tc>
          <w:tcPr>
            <w:tcW w:w="9322" w:type="dxa"/>
          </w:tcPr>
          <w:p w:rsidR="006D4F00" w:rsidRPr="004F5DAC" w:rsidRDefault="006D4F00" w:rsidP="006D4F00">
            <w:pPr>
              <w:jc w:val="center"/>
              <w:rPr>
                <w:rFonts w:ascii="Arial" w:hAnsi="Arial" w:cs="Arial"/>
                <w:noProof/>
                <w:lang w:eastAsia="en-GB"/>
              </w:rPr>
            </w:pPr>
          </w:p>
        </w:tc>
      </w:tr>
    </w:tbl>
    <w:p w:rsidR="006D4F00" w:rsidRPr="004F5DAC" w:rsidRDefault="006A7B54" w:rsidP="00D777A2">
      <w:pPr>
        <w:rPr>
          <w:rFonts w:ascii="Arial" w:hAnsi="Arial" w:cs="Arial"/>
          <w:b/>
        </w:rPr>
      </w:pPr>
      <w:r w:rsidRPr="004F5DAC">
        <w:rPr>
          <w:rFonts w:ascii="Arial" w:hAnsi="Arial" w:cs="Arial"/>
          <w:b/>
          <w:noProof/>
          <w:lang w:eastAsia="en-GB"/>
        </w:rPr>
        <w:drawing>
          <wp:anchor distT="0" distB="0" distL="114300" distR="114300" simplePos="0" relativeHeight="251702272" behindDoc="1" locked="0" layoutInCell="1" allowOverlap="1" wp14:anchorId="26E3C12E" wp14:editId="0A76D7BB">
            <wp:simplePos x="0" y="0"/>
            <wp:positionH relativeFrom="column">
              <wp:posOffset>-152400</wp:posOffset>
            </wp:positionH>
            <wp:positionV relativeFrom="paragraph">
              <wp:posOffset>330200</wp:posOffset>
            </wp:positionV>
            <wp:extent cx="6353175" cy="30765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3175" cy="3076575"/>
                    </a:xfrm>
                    <a:prstGeom prst="rect">
                      <a:avLst/>
                    </a:prstGeom>
                    <a:noFill/>
                  </pic:spPr>
                </pic:pic>
              </a:graphicData>
            </a:graphic>
            <wp14:sizeRelH relativeFrom="margin">
              <wp14:pctWidth>0</wp14:pctWidth>
            </wp14:sizeRelH>
            <wp14:sizeRelV relativeFrom="margin">
              <wp14:pctHeight>0</wp14:pctHeight>
            </wp14:sizeRelV>
          </wp:anchor>
        </w:drawing>
      </w:r>
    </w:p>
    <w:p w:rsidR="0006602F" w:rsidRPr="004F5DAC" w:rsidRDefault="0006602F" w:rsidP="00D777A2">
      <w:pPr>
        <w:rPr>
          <w:rFonts w:ascii="Arial" w:hAnsi="Arial" w:cs="Arial"/>
          <w:b/>
        </w:rPr>
      </w:pPr>
    </w:p>
    <w:p w:rsidR="0006602F" w:rsidRPr="004F5DAC" w:rsidRDefault="0006602F" w:rsidP="00D777A2">
      <w:pPr>
        <w:rPr>
          <w:rFonts w:ascii="Arial" w:hAnsi="Arial" w:cs="Arial"/>
          <w:b/>
        </w:rPr>
      </w:pPr>
    </w:p>
    <w:p w:rsidR="0006602F" w:rsidRPr="004F5DAC" w:rsidRDefault="0006602F" w:rsidP="00D777A2">
      <w:pPr>
        <w:rPr>
          <w:rFonts w:ascii="Arial" w:hAnsi="Arial" w:cs="Arial"/>
          <w:b/>
        </w:rPr>
      </w:pPr>
    </w:p>
    <w:p w:rsidR="0006602F" w:rsidRPr="004F5DAC" w:rsidRDefault="0006602F" w:rsidP="00D777A2">
      <w:pPr>
        <w:rPr>
          <w:rFonts w:ascii="Arial" w:hAnsi="Arial" w:cs="Arial"/>
          <w:b/>
        </w:rPr>
      </w:pPr>
    </w:p>
    <w:p w:rsidR="0006602F" w:rsidRPr="004F5DAC" w:rsidRDefault="0006602F" w:rsidP="00D777A2">
      <w:pPr>
        <w:rPr>
          <w:rFonts w:ascii="Arial" w:hAnsi="Arial" w:cs="Arial"/>
          <w:b/>
        </w:rPr>
      </w:pPr>
    </w:p>
    <w:p w:rsidR="0006602F" w:rsidRPr="004F5DAC" w:rsidRDefault="0006602F" w:rsidP="00D777A2">
      <w:pPr>
        <w:rPr>
          <w:rFonts w:ascii="Arial" w:hAnsi="Arial" w:cs="Arial"/>
          <w:b/>
        </w:rPr>
      </w:pPr>
    </w:p>
    <w:p w:rsidR="0006602F" w:rsidRPr="004F5DAC" w:rsidRDefault="0006602F" w:rsidP="00D777A2">
      <w:pPr>
        <w:rPr>
          <w:rFonts w:ascii="Arial" w:hAnsi="Arial" w:cs="Arial"/>
          <w:b/>
        </w:rPr>
      </w:pPr>
    </w:p>
    <w:p w:rsidR="006D796D" w:rsidRPr="004F5DAC" w:rsidRDefault="006D796D" w:rsidP="00D777A2">
      <w:pPr>
        <w:rPr>
          <w:rFonts w:ascii="Arial" w:hAnsi="Arial" w:cs="Arial"/>
          <w:b/>
        </w:rPr>
      </w:pPr>
    </w:p>
    <w:p w:rsidR="00EF4AD0" w:rsidRPr="004F5DAC" w:rsidRDefault="00EF4AD0" w:rsidP="00D777A2">
      <w:pPr>
        <w:rPr>
          <w:rFonts w:ascii="Arial" w:hAnsi="Arial" w:cs="Arial"/>
          <w:b/>
        </w:rPr>
      </w:pPr>
    </w:p>
    <w:p w:rsidR="00EF4AD0" w:rsidRPr="004F5DAC" w:rsidRDefault="00EF4AD0" w:rsidP="00D777A2">
      <w:pPr>
        <w:rPr>
          <w:rFonts w:ascii="Arial" w:hAnsi="Arial" w:cs="Arial"/>
          <w:b/>
        </w:rPr>
      </w:pPr>
    </w:p>
    <w:p w:rsidR="00D777A2" w:rsidRPr="004F5DAC" w:rsidRDefault="0006602F" w:rsidP="00D777A2">
      <w:pPr>
        <w:rPr>
          <w:rFonts w:ascii="Arial" w:hAnsi="Arial" w:cs="Arial"/>
          <w:b/>
        </w:rPr>
      </w:pPr>
      <w:r w:rsidRPr="004F5DAC">
        <w:rPr>
          <w:rFonts w:ascii="Arial" w:hAnsi="Arial" w:cs="Arial"/>
          <w:b/>
        </w:rPr>
        <w:lastRenderedPageBreak/>
        <w:t>Da</w:t>
      </w:r>
      <w:r w:rsidR="00D777A2" w:rsidRPr="004F5DAC">
        <w:rPr>
          <w:rFonts w:ascii="Arial" w:hAnsi="Arial" w:cs="Arial"/>
          <w:b/>
        </w:rPr>
        <w:t>ta Analysis</w:t>
      </w:r>
    </w:p>
    <w:p w:rsidR="00FF4318" w:rsidRPr="004F5DAC" w:rsidRDefault="00D777A2" w:rsidP="0054004E">
      <w:pPr>
        <w:rPr>
          <w:rFonts w:ascii="Arial" w:hAnsi="Arial" w:cs="Arial"/>
        </w:rPr>
      </w:pPr>
      <w:r w:rsidRPr="004F5DAC">
        <w:rPr>
          <w:rFonts w:ascii="Arial" w:hAnsi="Arial" w:cs="Arial"/>
        </w:rPr>
        <w:t>The underlying trend for reoffending has</w:t>
      </w:r>
      <w:r w:rsidR="00173D13" w:rsidRPr="004F5DAC">
        <w:rPr>
          <w:rFonts w:ascii="Arial" w:hAnsi="Arial" w:cs="Arial"/>
        </w:rPr>
        <w:t xml:space="preserve"> now</w:t>
      </w:r>
      <w:r w:rsidRPr="004F5DAC">
        <w:rPr>
          <w:rFonts w:ascii="Arial" w:hAnsi="Arial" w:cs="Arial"/>
        </w:rPr>
        <w:t xml:space="preserve"> been </w:t>
      </w:r>
      <w:r w:rsidR="00173D13" w:rsidRPr="004F5DAC">
        <w:rPr>
          <w:rFonts w:ascii="Arial" w:hAnsi="Arial" w:cs="Arial"/>
        </w:rPr>
        <w:t>decreasing since 2011.  Prior to this point in time LYOT's underlying trend has been increasing since the introduction of this measure in 2005</w:t>
      </w:r>
      <w:r w:rsidRPr="004F5DAC">
        <w:rPr>
          <w:rFonts w:ascii="Arial" w:hAnsi="Arial" w:cs="Arial"/>
        </w:rPr>
        <w:t xml:space="preserve">.  </w:t>
      </w:r>
      <w:r w:rsidR="00FF4318" w:rsidRPr="004F5DAC">
        <w:rPr>
          <w:rFonts w:ascii="Arial" w:hAnsi="Arial" w:cs="Arial"/>
        </w:rPr>
        <w:t>The reoffendin</w:t>
      </w:r>
      <w:r w:rsidR="00A161AC" w:rsidRPr="004F5DAC">
        <w:rPr>
          <w:rFonts w:ascii="Arial" w:hAnsi="Arial" w:cs="Arial"/>
        </w:rPr>
        <w:t>g rate for this quarter,</w:t>
      </w:r>
      <w:r w:rsidR="00D02410" w:rsidRPr="004F5DAC">
        <w:rPr>
          <w:rFonts w:ascii="Arial" w:hAnsi="Arial" w:cs="Arial"/>
        </w:rPr>
        <w:t xml:space="preserve"> October</w:t>
      </w:r>
      <w:r w:rsidR="00173D13" w:rsidRPr="004F5DAC">
        <w:rPr>
          <w:rFonts w:ascii="Arial" w:hAnsi="Arial" w:cs="Arial"/>
        </w:rPr>
        <w:t xml:space="preserve"> 2012</w:t>
      </w:r>
      <w:r w:rsidR="00FF4318" w:rsidRPr="004F5DAC">
        <w:rPr>
          <w:rFonts w:ascii="Arial" w:hAnsi="Arial" w:cs="Arial"/>
        </w:rPr>
        <w:t xml:space="preserve"> to</w:t>
      </w:r>
      <w:r w:rsidR="00D02410" w:rsidRPr="004F5DAC">
        <w:rPr>
          <w:rFonts w:ascii="Arial" w:hAnsi="Arial" w:cs="Arial"/>
        </w:rPr>
        <w:t xml:space="preserve"> September</w:t>
      </w:r>
      <w:r w:rsidR="00A161AC" w:rsidRPr="004F5DAC">
        <w:rPr>
          <w:rFonts w:ascii="Arial" w:hAnsi="Arial" w:cs="Arial"/>
        </w:rPr>
        <w:t xml:space="preserve"> 2013</w:t>
      </w:r>
      <w:r w:rsidR="00FF4318" w:rsidRPr="004F5DAC">
        <w:rPr>
          <w:rFonts w:ascii="Arial" w:hAnsi="Arial" w:cs="Arial"/>
        </w:rPr>
        <w:t xml:space="preserve">, is </w:t>
      </w:r>
      <w:r w:rsidR="00D02410" w:rsidRPr="004F5DAC">
        <w:rPr>
          <w:rFonts w:ascii="Arial" w:hAnsi="Arial" w:cs="Arial"/>
        </w:rPr>
        <w:t>38.2</w:t>
      </w:r>
      <w:r w:rsidR="00FF4318" w:rsidRPr="004F5DAC">
        <w:rPr>
          <w:rFonts w:ascii="Arial" w:hAnsi="Arial" w:cs="Arial"/>
        </w:rPr>
        <w:t xml:space="preserve">% which is </w:t>
      </w:r>
      <w:r w:rsidR="00A161AC" w:rsidRPr="004F5DAC">
        <w:rPr>
          <w:rFonts w:ascii="Arial" w:hAnsi="Arial" w:cs="Arial"/>
        </w:rPr>
        <w:t xml:space="preserve">an </w:t>
      </w:r>
      <w:r w:rsidR="006979ED" w:rsidRPr="004F5DAC">
        <w:rPr>
          <w:rFonts w:ascii="Arial" w:hAnsi="Arial" w:cs="Arial"/>
        </w:rPr>
        <w:t>increase of 1</w:t>
      </w:r>
      <w:r w:rsidR="00D02410" w:rsidRPr="004F5DAC">
        <w:rPr>
          <w:rFonts w:ascii="Arial" w:hAnsi="Arial" w:cs="Arial"/>
        </w:rPr>
        <w:t>.6</w:t>
      </w:r>
      <w:r w:rsidR="00173D13" w:rsidRPr="004F5DAC">
        <w:rPr>
          <w:rFonts w:ascii="Arial" w:hAnsi="Arial" w:cs="Arial"/>
        </w:rPr>
        <w:t>% compa</w:t>
      </w:r>
      <w:r w:rsidR="00A161AC" w:rsidRPr="004F5DAC">
        <w:rPr>
          <w:rFonts w:ascii="Arial" w:hAnsi="Arial" w:cs="Arial"/>
        </w:rPr>
        <w:t>red to last quar</w:t>
      </w:r>
      <w:r w:rsidR="00D02410" w:rsidRPr="004F5DAC">
        <w:rPr>
          <w:rFonts w:ascii="Arial" w:hAnsi="Arial" w:cs="Arial"/>
        </w:rPr>
        <w:t>ter.  This keeps</w:t>
      </w:r>
      <w:r w:rsidR="006979ED" w:rsidRPr="004F5DAC">
        <w:rPr>
          <w:rFonts w:ascii="Arial" w:hAnsi="Arial" w:cs="Arial"/>
        </w:rPr>
        <w:t xml:space="preserve"> LYOT </w:t>
      </w:r>
      <w:r w:rsidR="00D02410" w:rsidRPr="004F5DAC">
        <w:rPr>
          <w:rFonts w:ascii="Arial" w:hAnsi="Arial" w:cs="Arial"/>
        </w:rPr>
        <w:t xml:space="preserve">in the </w:t>
      </w:r>
      <w:r w:rsidR="006979ED" w:rsidRPr="004F5DAC">
        <w:rPr>
          <w:rFonts w:ascii="Arial" w:hAnsi="Arial" w:cs="Arial"/>
        </w:rPr>
        <w:t>3</w:t>
      </w:r>
      <w:r w:rsidR="006979ED" w:rsidRPr="004F5DAC">
        <w:rPr>
          <w:rFonts w:ascii="Arial" w:hAnsi="Arial" w:cs="Arial"/>
          <w:vertAlign w:val="superscript"/>
        </w:rPr>
        <w:t>rd</w:t>
      </w:r>
      <w:r w:rsidR="006979ED" w:rsidRPr="004F5DAC">
        <w:rPr>
          <w:rFonts w:ascii="Arial" w:hAnsi="Arial" w:cs="Arial"/>
        </w:rPr>
        <w:t xml:space="preserve"> </w:t>
      </w:r>
      <w:r w:rsidR="00FF4318" w:rsidRPr="004F5DAC">
        <w:rPr>
          <w:rFonts w:ascii="Arial" w:hAnsi="Arial" w:cs="Arial"/>
        </w:rPr>
        <w:t xml:space="preserve">quartile. </w:t>
      </w:r>
      <w:r w:rsidR="00A161AC" w:rsidRPr="004F5DAC">
        <w:rPr>
          <w:rFonts w:ascii="Arial" w:hAnsi="Arial" w:cs="Arial"/>
        </w:rPr>
        <w:t xml:space="preserve"> T</w:t>
      </w:r>
      <w:r w:rsidR="00173D13" w:rsidRPr="004F5DAC">
        <w:rPr>
          <w:rFonts w:ascii="Arial" w:hAnsi="Arial" w:cs="Arial"/>
        </w:rPr>
        <w:t xml:space="preserve">he new </w:t>
      </w:r>
      <w:r w:rsidR="003F47C1" w:rsidRPr="004F5DAC">
        <w:rPr>
          <w:rFonts w:ascii="Arial" w:hAnsi="Arial" w:cs="Arial"/>
        </w:rPr>
        <w:t>ranking position is</w:t>
      </w:r>
      <w:r w:rsidR="00A161AC" w:rsidRPr="004F5DAC">
        <w:rPr>
          <w:rFonts w:ascii="Arial" w:hAnsi="Arial" w:cs="Arial"/>
        </w:rPr>
        <w:t xml:space="preserve"> </w:t>
      </w:r>
      <w:r w:rsidR="00D02410" w:rsidRPr="004F5DAC">
        <w:rPr>
          <w:rFonts w:ascii="Arial" w:hAnsi="Arial" w:cs="Arial"/>
        </w:rPr>
        <w:t>76</w:t>
      </w:r>
      <w:r w:rsidR="00F44CBC" w:rsidRPr="004F5DAC">
        <w:rPr>
          <w:rFonts w:ascii="Arial" w:hAnsi="Arial" w:cs="Arial"/>
        </w:rPr>
        <w:t xml:space="preserve"> out of 1</w:t>
      </w:r>
      <w:r w:rsidR="00A161AC" w:rsidRPr="004F5DAC">
        <w:rPr>
          <w:rFonts w:ascii="Arial" w:hAnsi="Arial" w:cs="Arial"/>
        </w:rPr>
        <w:t>40 YOTs</w:t>
      </w:r>
      <w:r w:rsidR="003F47C1" w:rsidRPr="004F5DAC">
        <w:rPr>
          <w:rFonts w:ascii="Arial" w:hAnsi="Arial" w:cs="Arial"/>
        </w:rPr>
        <w:t>.</w:t>
      </w:r>
    </w:p>
    <w:p w:rsidR="0013286A" w:rsidRPr="004F5DAC" w:rsidRDefault="00FF4318" w:rsidP="00FF4318">
      <w:pPr>
        <w:rPr>
          <w:rFonts w:ascii="Arial" w:hAnsi="Arial" w:cs="Arial"/>
        </w:rPr>
      </w:pPr>
      <w:r w:rsidRPr="004F5DAC">
        <w:rPr>
          <w:rFonts w:ascii="Arial" w:hAnsi="Arial" w:cs="Arial"/>
        </w:rPr>
        <w:t xml:space="preserve">LYOT's reoffending rate </w:t>
      </w:r>
      <w:r w:rsidR="007F181B" w:rsidRPr="004F5DAC">
        <w:rPr>
          <w:rFonts w:ascii="Arial" w:hAnsi="Arial" w:cs="Arial"/>
        </w:rPr>
        <w:t>remains</w:t>
      </w:r>
      <w:r w:rsidR="00E755BF" w:rsidRPr="004F5DAC">
        <w:rPr>
          <w:rFonts w:ascii="Arial" w:hAnsi="Arial" w:cs="Arial"/>
        </w:rPr>
        <w:t xml:space="preserve"> lower</w:t>
      </w:r>
      <w:r w:rsidR="00D02410" w:rsidRPr="004F5DAC">
        <w:rPr>
          <w:rFonts w:ascii="Arial" w:hAnsi="Arial" w:cs="Arial"/>
        </w:rPr>
        <w:t xml:space="preserve"> than the North-West comparator</w:t>
      </w:r>
      <w:r w:rsidR="00576DBD" w:rsidRPr="004F5DAC">
        <w:rPr>
          <w:rFonts w:ascii="Arial" w:hAnsi="Arial" w:cs="Arial"/>
        </w:rPr>
        <w:t xml:space="preserve">; however it </w:t>
      </w:r>
      <w:r w:rsidR="00E755BF" w:rsidRPr="004F5DAC">
        <w:rPr>
          <w:rFonts w:ascii="Arial" w:hAnsi="Arial" w:cs="Arial"/>
        </w:rPr>
        <w:t>higher than</w:t>
      </w:r>
      <w:r w:rsidR="00F44CBC" w:rsidRPr="004F5DAC">
        <w:rPr>
          <w:rFonts w:ascii="Arial" w:hAnsi="Arial" w:cs="Arial"/>
        </w:rPr>
        <w:t xml:space="preserve"> </w:t>
      </w:r>
      <w:r w:rsidRPr="004F5DAC">
        <w:rPr>
          <w:rFonts w:ascii="Arial" w:hAnsi="Arial" w:cs="Arial"/>
        </w:rPr>
        <w:t xml:space="preserve">the </w:t>
      </w:r>
      <w:r w:rsidR="00E755BF" w:rsidRPr="004F5DAC">
        <w:rPr>
          <w:rFonts w:ascii="Arial" w:hAnsi="Arial" w:cs="Arial"/>
        </w:rPr>
        <w:t xml:space="preserve">Family </w:t>
      </w:r>
      <w:r w:rsidRPr="004F5DAC">
        <w:rPr>
          <w:rFonts w:ascii="Arial" w:hAnsi="Arial" w:cs="Arial"/>
        </w:rPr>
        <w:t>comparator</w:t>
      </w:r>
      <w:r w:rsidR="003F47C1" w:rsidRPr="004F5DAC">
        <w:rPr>
          <w:rFonts w:ascii="Arial" w:hAnsi="Arial" w:cs="Arial"/>
        </w:rPr>
        <w:t xml:space="preserve"> and National comparator</w:t>
      </w:r>
      <w:r w:rsidR="00D02410" w:rsidRPr="004F5DAC">
        <w:rPr>
          <w:rFonts w:ascii="Arial" w:hAnsi="Arial" w:cs="Arial"/>
        </w:rPr>
        <w:t>s</w:t>
      </w:r>
    </w:p>
    <w:p w:rsidR="00FF4318" w:rsidRPr="004F5DAC" w:rsidRDefault="00FF4318" w:rsidP="00FF4318">
      <w:pPr>
        <w:rPr>
          <w:rFonts w:ascii="Arial" w:hAnsi="Arial" w:cs="Arial"/>
        </w:rPr>
      </w:pPr>
    </w:p>
    <w:p w:rsidR="00FF4318" w:rsidRPr="004F5DAC" w:rsidRDefault="00FF4318" w:rsidP="0054004E">
      <w:pPr>
        <w:rPr>
          <w:rFonts w:ascii="Arial" w:hAnsi="Arial" w:cs="Arial"/>
        </w:rPr>
      </w:pPr>
      <w:r w:rsidRPr="004F5DAC">
        <w:rPr>
          <w:rFonts w:ascii="Arial" w:hAnsi="Arial" w:cs="Arial"/>
        </w:rPr>
        <w:t>The local 'real-time' reoffending tally measure has seen</w:t>
      </w:r>
      <w:r w:rsidR="006A76E5" w:rsidRPr="004F5DAC">
        <w:rPr>
          <w:rFonts w:ascii="Arial" w:hAnsi="Arial" w:cs="Arial"/>
        </w:rPr>
        <w:t xml:space="preserve"> 'reoffending' levels </w:t>
      </w:r>
      <w:r w:rsidR="005C61B0" w:rsidRPr="004F5DAC">
        <w:rPr>
          <w:rFonts w:ascii="Arial" w:hAnsi="Arial" w:cs="Arial"/>
        </w:rPr>
        <w:t>remain relatively stable si</w:t>
      </w:r>
      <w:r w:rsidRPr="004F5DAC">
        <w:rPr>
          <w:rFonts w:ascii="Arial" w:hAnsi="Arial" w:cs="Arial"/>
        </w:rPr>
        <w:t>nce Nov 2013</w:t>
      </w:r>
      <w:r w:rsidR="005C61B0" w:rsidRPr="004F5DAC">
        <w:rPr>
          <w:rFonts w:ascii="Arial" w:hAnsi="Arial" w:cs="Arial"/>
        </w:rPr>
        <w:t>.</w:t>
      </w:r>
      <w:r w:rsidRPr="004F5DAC">
        <w:rPr>
          <w:rFonts w:ascii="Arial" w:hAnsi="Arial" w:cs="Arial"/>
        </w:rPr>
        <w:t xml:space="preserve">  </w:t>
      </w:r>
    </w:p>
    <w:p w:rsidR="00DA4A07" w:rsidRPr="004F5DAC" w:rsidRDefault="00DA4A07">
      <w:pPr>
        <w:rPr>
          <w:rFonts w:ascii="Arial" w:hAnsi="Arial" w:cs="Arial"/>
        </w:rPr>
      </w:pPr>
    </w:p>
    <w:p w:rsidR="002004FB" w:rsidRPr="004F5DAC" w:rsidRDefault="002004FB">
      <w:pPr>
        <w:rPr>
          <w:rFonts w:ascii="Arial" w:hAnsi="Arial" w:cs="Arial"/>
        </w:rPr>
      </w:pPr>
      <w:r w:rsidRPr="004F5DAC">
        <w:rPr>
          <w:rFonts w:ascii="Arial" w:hAnsi="Arial" w:cs="Arial"/>
        </w:rPr>
        <w:br w:type="page"/>
      </w:r>
    </w:p>
    <w:p w:rsidR="0054004E" w:rsidRPr="004F5DAC" w:rsidRDefault="00DF4A62" w:rsidP="0054004E">
      <w:pPr>
        <w:pStyle w:val="ListParagraph"/>
        <w:numPr>
          <w:ilvl w:val="0"/>
          <w:numId w:val="1"/>
        </w:numPr>
        <w:rPr>
          <w:rFonts w:ascii="Arial" w:hAnsi="Arial" w:cs="Arial"/>
          <w:b/>
        </w:rPr>
      </w:pPr>
      <w:r w:rsidRPr="004F5DAC">
        <w:rPr>
          <w:rFonts w:ascii="Arial" w:hAnsi="Arial" w:cs="Arial"/>
          <w:noProof/>
          <w:lang w:eastAsia="en-GB"/>
        </w:rPr>
        <w:lastRenderedPageBreak/>
        <w:drawing>
          <wp:anchor distT="0" distB="0" distL="114300" distR="114300" simplePos="0" relativeHeight="251713536" behindDoc="1" locked="0" layoutInCell="1" allowOverlap="1" wp14:anchorId="45145044" wp14:editId="37580F74">
            <wp:simplePos x="0" y="0"/>
            <wp:positionH relativeFrom="margin">
              <wp:posOffset>-295275</wp:posOffset>
            </wp:positionH>
            <wp:positionV relativeFrom="paragraph">
              <wp:posOffset>245110</wp:posOffset>
            </wp:positionV>
            <wp:extent cx="6523990" cy="8096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4159" cy="809646"/>
                    </a:xfrm>
                    <a:prstGeom prst="rect">
                      <a:avLst/>
                    </a:prstGeom>
                    <a:noFill/>
                    <a:ln>
                      <a:noFill/>
                    </a:ln>
                  </pic:spPr>
                </pic:pic>
              </a:graphicData>
            </a:graphic>
            <wp14:sizeRelH relativeFrom="page">
              <wp14:pctWidth>0</wp14:pctWidth>
            </wp14:sizeRelH>
            <wp14:sizeRelV relativeFrom="page">
              <wp14:pctHeight>0</wp14:pctHeight>
            </wp14:sizeRelV>
          </wp:anchor>
        </w:drawing>
      </w:r>
      <w:r w:rsidR="0054004E" w:rsidRPr="004F5DAC">
        <w:rPr>
          <w:rFonts w:ascii="Arial" w:hAnsi="Arial" w:cs="Arial"/>
          <w:b/>
        </w:rPr>
        <w:t>National Indicator: Reducing the Use of Custody</w:t>
      </w:r>
      <w:r w:rsidR="001A05FE" w:rsidRPr="004F5DAC">
        <w:rPr>
          <w:rFonts w:ascii="Arial" w:hAnsi="Arial" w:cs="Arial"/>
          <w:b/>
        </w:rPr>
        <w:t xml:space="preserve"> </w:t>
      </w:r>
    </w:p>
    <w:p w:rsidR="00924E6F" w:rsidRPr="004F5DAC" w:rsidRDefault="00924E6F" w:rsidP="0054004E">
      <w:pPr>
        <w:rPr>
          <w:rFonts w:ascii="Arial" w:hAnsi="Arial" w:cs="Arial"/>
          <w:noProof/>
          <w:lang w:eastAsia="en-GB"/>
        </w:rPr>
      </w:pPr>
    </w:p>
    <w:p w:rsidR="00DF4A62" w:rsidRPr="004F5DAC" w:rsidRDefault="00DF4A62" w:rsidP="0054004E">
      <w:pPr>
        <w:rPr>
          <w:rFonts w:ascii="Arial" w:hAnsi="Arial" w:cs="Arial"/>
          <w:noProof/>
          <w:lang w:eastAsia="en-GB"/>
        </w:rPr>
      </w:pPr>
    </w:p>
    <w:p w:rsidR="00DF4A62" w:rsidRPr="004F5DAC" w:rsidRDefault="00DF4A62" w:rsidP="0054004E">
      <w:pPr>
        <w:rPr>
          <w:rFonts w:ascii="Arial" w:hAnsi="Arial" w:cs="Arial"/>
          <w:noProof/>
          <w:lang w:eastAsia="en-GB"/>
        </w:rPr>
      </w:pPr>
    </w:p>
    <w:p w:rsidR="00DF4A62" w:rsidRPr="004F5DAC" w:rsidRDefault="00DF4A62" w:rsidP="0054004E">
      <w:pPr>
        <w:rPr>
          <w:rFonts w:ascii="Arial" w:hAnsi="Arial" w:cs="Arial"/>
          <w:noProof/>
          <w:lang w:eastAsia="en-GB"/>
        </w:rPr>
      </w:pPr>
    </w:p>
    <w:p w:rsidR="00DF4A62" w:rsidRPr="004F5DAC" w:rsidRDefault="00DF4A62" w:rsidP="0054004E">
      <w:pPr>
        <w:rPr>
          <w:rFonts w:ascii="Arial" w:hAnsi="Arial" w:cs="Arial"/>
          <w:noProof/>
          <w:lang w:eastAsia="en-GB"/>
        </w:rPr>
      </w:pPr>
    </w:p>
    <w:p w:rsidR="00DF4A62" w:rsidRPr="004F5DAC" w:rsidRDefault="00DF4A62" w:rsidP="0054004E">
      <w:pPr>
        <w:rPr>
          <w:rFonts w:ascii="Arial" w:hAnsi="Arial" w:cs="Arial"/>
        </w:rPr>
      </w:pPr>
    </w:p>
    <w:tbl>
      <w:tblPr>
        <w:tblStyle w:val="TableGrid"/>
        <w:tblW w:w="27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9322"/>
        <w:gridCol w:w="9322"/>
      </w:tblGrid>
      <w:tr w:rsidR="00813590" w:rsidRPr="004F5DAC" w:rsidTr="004A71F2">
        <w:trPr>
          <w:trHeight w:val="2417"/>
        </w:trPr>
        <w:tc>
          <w:tcPr>
            <w:tcW w:w="9322" w:type="dxa"/>
          </w:tcPr>
          <w:p w:rsidR="00813590" w:rsidRPr="004F5DAC" w:rsidRDefault="00DF4A62" w:rsidP="0054004E">
            <w:pPr>
              <w:rPr>
                <w:rFonts w:ascii="Arial" w:hAnsi="Arial" w:cs="Arial"/>
              </w:rPr>
            </w:pPr>
            <w:r w:rsidRPr="004F5DAC">
              <w:rPr>
                <w:rFonts w:ascii="Arial" w:hAnsi="Arial" w:cs="Arial"/>
                <w:noProof/>
                <w:lang w:eastAsia="en-GB"/>
              </w:rPr>
              <w:drawing>
                <wp:anchor distT="0" distB="0" distL="114300" distR="114300" simplePos="0" relativeHeight="251716608" behindDoc="1" locked="0" layoutInCell="1" allowOverlap="1" wp14:anchorId="2ED073B8" wp14:editId="0DF412F1">
                  <wp:simplePos x="0" y="0"/>
                  <wp:positionH relativeFrom="column">
                    <wp:posOffset>-306705</wp:posOffset>
                  </wp:positionH>
                  <wp:positionV relativeFrom="paragraph">
                    <wp:posOffset>-1159510</wp:posOffset>
                  </wp:positionV>
                  <wp:extent cx="6429375" cy="32004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0496" cy="3200958"/>
                          </a:xfrm>
                          <a:prstGeom prst="rect">
                            <a:avLst/>
                          </a:prstGeom>
                          <a:noFill/>
                        </pic:spPr>
                      </pic:pic>
                    </a:graphicData>
                  </a:graphic>
                  <wp14:sizeRelH relativeFrom="page">
                    <wp14:pctWidth>0</wp14:pctWidth>
                  </wp14:sizeRelH>
                  <wp14:sizeRelV relativeFrom="page">
                    <wp14:pctHeight>0</wp14:pctHeight>
                  </wp14:sizeRelV>
                </wp:anchor>
              </w:drawing>
            </w:r>
          </w:p>
          <w:p w:rsidR="00813590" w:rsidRPr="004F5DAC" w:rsidRDefault="00813590" w:rsidP="0054004E">
            <w:pPr>
              <w:rPr>
                <w:rFonts w:ascii="Arial" w:hAnsi="Arial" w:cs="Arial"/>
                <w:sz w:val="16"/>
                <w:szCs w:val="16"/>
              </w:rPr>
            </w:pPr>
          </w:p>
        </w:tc>
        <w:tc>
          <w:tcPr>
            <w:tcW w:w="9322" w:type="dxa"/>
          </w:tcPr>
          <w:p w:rsidR="00813590" w:rsidRPr="004F5DAC" w:rsidRDefault="00813590" w:rsidP="0054004E">
            <w:pPr>
              <w:rPr>
                <w:rFonts w:ascii="Arial" w:hAnsi="Arial" w:cs="Arial"/>
                <w:noProof/>
                <w:lang w:eastAsia="en-GB"/>
              </w:rPr>
            </w:pPr>
          </w:p>
        </w:tc>
        <w:tc>
          <w:tcPr>
            <w:tcW w:w="9322" w:type="dxa"/>
          </w:tcPr>
          <w:p w:rsidR="00813590" w:rsidRPr="004F5DAC" w:rsidRDefault="00813590" w:rsidP="0054004E">
            <w:pPr>
              <w:rPr>
                <w:rFonts w:ascii="Arial" w:hAnsi="Arial" w:cs="Arial"/>
                <w:noProof/>
                <w:lang w:eastAsia="en-GB"/>
              </w:rPr>
            </w:pPr>
          </w:p>
        </w:tc>
      </w:tr>
      <w:tr w:rsidR="00813590" w:rsidRPr="004F5DAC" w:rsidTr="004A71F2">
        <w:trPr>
          <w:trHeight w:val="2417"/>
        </w:trPr>
        <w:tc>
          <w:tcPr>
            <w:tcW w:w="9322" w:type="dxa"/>
          </w:tcPr>
          <w:p w:rsidR="00813590" w:rsidRPr="004F5DAC" w:rsidRDefault="00DF4A62" w:rsidP="0054004E">
            <w:pPr>
              <w:rPr>
                <w:rFonts w:ascii="Arial" w:hAnsi="Arial" w:cs="Arial"/>
              </w:rPr>
            </w:pPr>
            <w:r w:rsidRPr="004F5DAC">
              <w:rPr>
                <w:rFonts w:ascii="Arial" w:hAnsi="Arial" w:cs="Arial"/>
                <w:noProof/>
                <w:lang w:eastAsia="en-GB"/>
              </w:rPr>
              <w:drawing>
                <wp:anchor distT="0" distB="0" distL="114300" distR="114300" simplePos="0" relativeHeight="251715584" behindDoc="1" locked="0" layoutInCell="1" allowOverlap="1" wp14:anchorId="32AA15B1" wp14:editId="420EFEF8">
                  <wp:simplePos x="0" y="0"/>
                  <wp:positionH relativeFrom="column">
                    <wp:posOffset>-277302</wp:posOffset>
                  </wp:positionH>
                  <wp:positionV relativeFrom="paragraph">
                    <wp:posOffset>702807</wp:posOffset>
                  </wp:positionV>
                  <wp:extent cx="6419788" cy="3447415"/>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6806" cy="3451183"/>
                          </a:xfrm>
                          <a:prstGeom prst="rect">
                            <a:avLst/>
                          </a:prstGeom>
                          <a:noFill/>
                        </pic:spPr>
                      </pic:pic>
                    </a:graphicData>
                  </a:graphic>
                  <wp14:sizeRelH relativeFrom="page">
                    <wp14:pctWidth>0</wp14:pctWidth>
                  </wp14:sizeRelH>
                  <wp14:sizeRelV relativeFrom="page">
                    <wp14:pctHeight>0</wp14:pctHeight>
                  </wp14:sizeRelV>
                </wp:anchor>
              </w:drawing>
            </w:r>
          </w:p>
        </w:tc>
        <w:tc>
          <w:tcPr>
            <w:tcW w:w="9322" w:type="dxa"/>
          </w:tcPr>
          <w:p w:rsidR="00813590" w:rsidRPr="004F5DAC" w:rsidRDefault="00813590" w:rsidP="0054004E">
            <w:pPr>
              <w:rPr>
                <w:rFonts w:ascii="Arial" w:hAnsi="Arial" w:cs="Arial"/>
                <w:noProof/>
                <w:lang w:eastAsia="en-GB"/>
              </w:rPr>
            </w:pPr>
          </w:p>
        </w:tc>
        <w:tc>
          <w:tcPr>
            <w:tcW w:w="9322" w:type="dxa"/>
          </w:tcPr>
          <w:p w:rsidR="00813590" w:rsidRPr="004F5DAC" w:rsidRDefault="00813590" w:rsidP="0054004E">
            <w:pPr>
              <w:rPr>
                <w:rFonts w:ascii="Arial" w:hAnsi="Arial" w:cs="Arial"/>
                <w:noProof/>
                <w:lang w:eastAsia="en-GB"/>
              </w:rPr>
            </w:pPr>
          </w:p>
        </w:tc>
      </w:tr>
    </w:tbl>
    <w:p w:rsidR="004B214E" w:rsidRPr="004F5DAC" w:rsidRDefault="008220A3" w:rsidP="0054004E">
      <w:pPr>
        <w:rPr>
          <w:rFonts w:ascii="Arial" w:hAnsi="Arial" w:cs="Arial"/>
          <w:b/>
          <w:highlight w:val="yellow"/>
        </w:rPr>
      </w:pPr>
      <w:r w:rsidRPr="004F5DAC">
        <w:rPr>
          <w:rFonts w:ascii="Arial" w:hAnsi="Arial" w:cs="Arial"/>
        </w:rPr>
        <w:br w:type="textWrapping" w:clear="all"/>
      </w:r>
    </w:p>
    <w:p w:rsidR="00A34BB6" w:rsidRPr="004F5DAC" w:rsidRDefault="00A34BB6" w:rsidP="006C3E4C">
      <w:pPr>
        <w:rPr>
          <w:rFonts w:ascii="Arial" w:hAnsi="Arial" w:cs="Arial"/>
          <w:b/>
        </w:rPr>
      </w:pPr>
    </w:p>
    <w:p w:rsidR="00A34BB6" w:rsidRPr="004F5DAC" w:rsidRDefault="00A34BB6" w:rsidP="006C3E4C">
      <w:pPr>
        <w:rPr>
          <w:rFonts w:ascii="Arial" w:hAnsi="Arial" w:cs="Arial"/>
          <w:b/>
        </w:rPr>
      </w:pPr>
    </w:p>
    <w:p w:rsidR="00A34BB6" w:rsidRPr="004F5DAC" w:rsidRDefault="00A34BB6" w:rsidP="006C3E4C">
      <w:pPr>
        <w:rPr>
          <w:rFonts w:ascii="Arial" w:hAnsi="Arial" w:cs="Arial"/>
          <w:b/>
        </w:rPr>
      </w:pPr>
    </w:p>
    <w:p w:rsidR="00A34BB6" w:rsidRPr="004F5DAC" w:rsidRDefault="00A34BB6" w:rsidP="006C3E4C">
      <w:pPr>
        <w:rPr>
          <w:rFonts w:ascii="Arial" w:hAnsi="Arial" w:cs="Arial"/>
          <w:b/>
        </w:rPr>
      </w:pPr>
    </w:p>
    <w:p w:rsidR="00A34BB6" w:rsidRPr="004F5DAC" w:rsidRDefault="00A34BB6" w:rsidP="006C3E4C">
      <w:pPr>
        <w:rPr>
          <w:rFonts w:ascii="Arial" w:hAnsi="Arial" w:cs="Arial"/>
          <w:b/>
        </w:rPr>
      </w:pPr>
    </w:p>
    <w:p w:rsidR="00A34BB6" w:rsidRPr="004F5DAC" w:rsidRDefault="00A34BB6" w:rsidP="006C3E4C">
      <w:pPr>
        <w:rPr>
          <w:rFonts w:ascii="Arial" w:hAnsi="Arial" w:cs="Arial"/>
          <w:b/>
        </w:rPr>
      </w:pPr>
    </w:p>
    <w:p w:rsidR="00A34BB6" w:rsidRPr="004F5DAC" w:rsidRDefault="007A29D7" w:rsidP="006C3E4C">
      <w:pPr>
        <w:rPr>
          <w:rFonts w:ascii="Arial" w:hAnsi="Arial" w:cs="Arial"/>
          <w:b/>
        </w:rPr>
      </w:pPr>
      <w:r w:rsidRPr="004F5DAC">
        <w:rPr>
          <w:rFonts w:ascii="Arial" w:hAnsi="Arial" w:cs="Arial"/>
          <w:noProof/>
          <w:lang w:eastAsia="en-GB"/>
        </w:rPr>
        <w:drawing>
          <wp:anchor distT="0" distB="0" distL="114300" distR="114300" simplePos="0" relativeHeight="251717632" behindDoc="1" locked="0" layoutInCell="1" allowOverlap="1" wp14:anchorId="0B5A03CC" wp14:editId="17506A26">
            <wp:simplePos x="0" y="0"/>
            <wp:positionH relativeFrom="margin">
              <wp:posOffset>-352425</wp:posOffset>
            </wp:positionH>
            <wp:positionV relativeFrom="paragraph">
              <wp:posOffset>323214</wp:posOffset>
            </wp:positionV>
            <wp:extent cx="6719088" cy="981075"/>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67042" cy="10026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4BB6" w:rsidRPr="004F5DAC" w:rsidRDefault="00A34BB6" w:rsidP="006C3E4C">
      <w:pPr>
        <w:rPr>
          <w:rFonts w:ascii="Arial" w:hAnsi="Arial" w:cs="Arial"/>
          <w:b/>
        </w:rPr>
      </w:pPr>
    </w:p>
    <w:p w:rsidR="00A34BB6" w:rsidRPr="004F5DAC" w:rsidRDefault="00A34BB6" w:rsidP="006C3E4C">
      <w:pPr>
        <w:rPr>
          <w:rFonts w:ascii="Arial" w:hAnsi="Arial" w:cs="Arial"/>
          <w:b/>
        </w:rPr>
      </w:pPr>
    </w:p>
    <w:p w:rsidR="00A34BB6" w:rsidRPr="004F5DAC" w:rsidRDefault="00A34BB6" w:rsidP="006C3E4C">
      <w:pPr>
        <w:rPr>
          <w:rFonts w:ascii="Arial" w:hAnsi="Arial" w:cs="Arial"/>
          <w:b/>
        </w:rPr>
      </w:pPr>
    </w:p>
    <w:p w:rsidR="00A34BB6" w:rsidRPr="004F5DAC" w:rsidRDefault="00A34BB6" w:rsidP="006C3E4C">
      <w:pPr>
        <w:rPr>
          <w:rFonts w:ascii="Arial" w:hAnsi="Arial" w:cs="Arial"/>
          <w:b/>
        </w:rPr>
      </w:pPr>
    </w:p>
    <w:p w:rsidR="006C3E4C" w:rsidRPr="004F5DAC" w:rsidRDefault="00387891" w:rsidP="006C3E4C">
      <w:pPr>
        <w:rPr>
          <w:rFonts w:ascii="Arial" w:hAnsi="Arial" w:cs="Arial"/>
          <w:b/>
        </w:rPr>
      </w:pPr>
      <w:r w:rsidRPr="004F5DAC">
        <w:rPr>
          <w:rFonts w:ascii="Arial" w:hAnsi="Arial" w:cs="Arial"/>
          <w:b/>
        </w:rPr>
        <w:lastRenderedPageBreak/>
        <w:t>D</w:t>
      </w:r>
      <w:r w:rsidR="006C3E4C" w:rsidRPr="004F5DAC">
        <w:rPr>
          <w:rFonts w:ascii="Arial" w:hAnsi="Arial" w:cs="Arial"/>
          <w:b/>
        </w:rPr>
        <w:t>ata Analysis</w:t>
      </w:r>
    </w:p>
    <w:p w:rsidR="006C3E4C" w:rsidRPr="004F5DAC" w:rsidRDefault="006C3E4C" w:rsidP="006C3E4C">
      <w:pPr>
        <w:rPr>
          <w:rFonts w:ascii="Arial" w:hAnsi="Arial" w:cs="Arial"/>
        </w:rPr>
      </w:pPr>
      <w:r w:rsidRPr="004F5DAC">
        <w:rPr>
          <w:rFonts w:ascii="Arial" w:hAnsi="Arial" w:cs="Arial"/>
        </w:rPr>
        <w:t>The underlying trend for</w:t>
      </w:r>
      <w:r w:rsidR="002627FE" w:rsidRPr="004F5DAC">
        <w:rPr>
          <w:rFonts w:ascii="Arial" w:hAnsi="Arial" w:cs="Arial"/>
        </w:rPr>
        <w:t xml:space="preserve"> LYOT's</w:t>
      </w:r>
      <w:r w:rsidRPr="004F5DAC">
        <w:rPr>
          <w:rFonts w:ascii="Arial" w:hAnsi="Arial" w:cs="Arial"/>
        </w:rPr>
        <w:t xml:space="preserve"> Custody has been </w:t>
      </w:r>
      <w:r w:rsidR="004A5EC5" w:rsidRPr="004F5DAC">
        <w:rPr>
          <w:rFonts w:ascii="Arial" w:hAnsi="Arial" w:cs="Arial"/>
        </w:rPr>
        <w:t>stable since 2012</w:t>
      </w:r>
      <w:r w:rsidRPr="004F5DAC">
        <w:rPr>
          <w:rFonts w:ascii="Arial" w:hAnsi="Arial" w:cs="Arial"/>
        </w:rPr>
        <w:t xml:space="preserve">.  </w:t>
      </w:r>
      <w:r w:rsidR="004A5EC5" w:rsidRPr="004F5DAC">
        <w:rPr>
          <w:rFonts w:ascii="Arial" w:hAnsi="Arial" w:cs="Arial"/>
        </w:rPr>
        <w:t>The last quarter has seen a</w:t>
      </w:r>
      <w:r w:rsidR="00A971FF" w:rsidRPr="004F5DAC">
        <w:rPr>
          <w:rFonts w:ascii="Arial" w:hAnsi="Arial" w:cs="Arial"/>
        </w:rPr>
        <w:t>nother</w:t>
      </w:r>
      <w:r w:rsidR="004E7A93" w:rsidRPr="004F5DAC">
        <w:rPr>
          <w:rFonts w:ascii="Arial" w:hAnsi="Arial" w:cs="Arial"/>
        </w:rPr>
        <w:t xml:space="preserve"> </w:t>
      </w:r>
      <w:r w:rsidR="00C4730C" w:rsidRPr="004F5DAC">
        <w:rPr>
          <w:rFonts w:ascii="Arial" w:hAnsi="Arial" w:cs="Arial"/>
        </w:rPr>
        <w:t>slight de</w:t>
      </w:r>
      <w:r w:rsidR="006C0881" w:rsidRPr="004F5DAC">
        <w:rPr>
          <w:rFonts w:ascii="Arial" w:hAnsi="Arial" w:cs="Arial"/>
        </w:rPr>
        <w:t>crease</w:t>
      </w:r>
      <w:r w:rsidR="004A5EC5" w:rsidRPr="004F5DAC">
        <w:rPr>
          <w:rFonts w:ascii="Arial" w:hAnsi="Arial" w:cs="Arial"/>
        </w:rPr>
        <w:t xml:space="preserve"> </w:t>
      </w:r>
      <w:r w:rsidR="00C4730C" w:rsidRPr="004F5DAC">
        <w:rPr>
          <w:rFonts w:ascii="Arial" w:hAnsi="Arial" w:cs="Arial"/>
        </w:rPr>
        <w:t>in custody from 0.56 to 0.50</w:t>
      </w:r>
      <w:r w:rsidRPr="004F5DAC">
        <w:rPr>
          <w:rFonts w:ascii="Arial" w:hAnsi="Arial" w:cs="Arial"/>
        </w:rPr>
        <w:t xml:space="preserve">.  Custody rates </w:t>
      </w:r>
      <w:r w:rsidR="004E7A93" w:rsidRPr="004F5DAC">
        <w:rPr>
          <w:rFonts w:ascii="Arial" w:hAnsi="Arial" w:cs="Arial"/>
        </w:rPr>
        <w:t xml:space="preserve">have been very </w:t>
      </w:r>
      <w:r w:rsidRPr="004F5DAC">
        <w:rPr>
          <w:rFonts w:ascii="Arial" w:hAnsi="Arial" w:cs="Arial"/>
        </w:rPr>
        <w:t xml:space="preserve">good in Lancashire and </w:t>
      </w:r>
      <w:r w:rsidR="004E7A93" w:rsidRPr="004F5DAC">
        <w:rPr>
          <w:rFonts w:ascii="Arial" w:hAnsi="Arial" w:cs="Arial"/>
        </w:rPr>
        <w:t xml:space="preserve">this trend continues with </w:t>
      </w:r>
      <w:r w:rsidRPr="004F5DAC">
        <w:rPr>
          <w:rFonts w:ascii="Arial" w:hAnsi="Arial" w:cs="Arial"/>
        </w:rPr>
        <w:t xml:space="preserve">LYOTs ranking </w:t>
      </w:r>
      <w:r w:rsidR="004E7A93" w:rsidRPr="004F5DAC">
        <w:rPr>
          <w:rFonts w:ascii="Arial" w:hAnsi="Arial" w:cs="Arial"/>
        </w:rPr>
        <w:t>being</w:t>
      </w:r>
      <w:r w:rsidR="00C4730C" w:rsidRPr="004F5DAC">
        <w:rPr>
          <w:rFonts w:ascii="Arial" w:hAnsi="Arial" w:cs="Arial"/>
        </w:rPr>
        <w:t xml:space="preserve"> 86</w:t>
      </w:r>
      <w:r w:rsidR="00B66469" w:rsidRPr="004F5DAC">
        <w:rPr>
          <w:rFonts w:ascii="Arial" w:hAnsi="Arial" w:cs="Arial"/>
          <w:vertAlign w:val="superscript"/>
        </w:rPr>
        <w:t>th</w:t>
      </w:r>
      <w:r w:rsidR="00B66469" w:rsidRPr="004F5DAC">
        <w:rPr>
          <w:rFonts w:ascii="Arial" w:hAnsi="Arial" w:cs="Arial"/>
        </w:rPr>
        <w:t xml:space="preserve"> </w:t>
      </w:r>
      <w:r w:rsidRPr="004F5DAC">
        <w:rPr>
          <w:rFonts w:ascii="Arial" w:hAnsi="Arial" w:cs="Arial"/>
        </w:rPr>
        <w:t>out of 140 YOTs – placing LYOT in the</w:t>
      </w:r>
      <w:r w:rsidR="00D76CB9" w:rsidRPr="004F5DAC">
        <w:rPr>
          <w:rFonts w:ascii="Arial" w:hAnsi="Arial" w:cs="Arial"/>
        </w:rPr>
        <w:t xml:space="preserve"> </w:t>
      </w:r>
      <w:r w:rsidR="004A71F2" w:rsidRPr="004F5DAC">
        <w:rPr>
          <w:rFonts w:ascii="Arial" w:hAnsi="Arial" w:cs="Arial"/>
        </w:rPr>
        <w:t>third</w:t>
      </w:r>
      <w:r w:rsidR="00B66469" w:rsidRPr="004F5DAC">
        <w:rPr>
          <w:rFonts w:ascii="Arial" w:hAnsi="Arial" w:cs="Arial"/>
        </w:rPr>
        <w:t xml:space="preserve"> quartile.</w:t>
      </w:r>
      <w:r w:rsidRPr="004F5DAC">
        <w:rPr>
          <w:rFonts w:ascii="Arial" w:hAnsi="Arial" w:cs="Arial"/>
        </w:rPr>
        <w:t xml:space="preserve"> </w:t>
      </w:r>
    </w:p>
    <w:p w:rsidR="00D76CB9" w:rsidRPr="004F5DAC" w:rsidRDefault="00D76CB9" w:rsidP="006C3E4C">
      <w:pPr>
        <w:rPr>
          <w:rFonts w:ascii="Arial" w:hAnsi="Arial" w:cs="Arial"/>
        </w:rPr>
      </w:pPr>
      <w:r w:rsidRPr="004F5DAC">
        <w:rPr>
          <w:rFonts w:ascii="Arial" w:hAnsi="Arial" w:cs="Arial"/>
        </w:rPr>
        <w:t>LYOT's</w:t>
      </w:r>
      <w:r w:rsidR="001B0E43" w:rsidRPr="004F5DAC">
        <w:rPr>
          <w:rFonts w:ascii="Arial" w:hAnsi="Arial" w:cs="Arial"/>
        </w:rPr>
        <w:t xml:space="preserve"> custody rate is</w:t>
      </w:r>
      <w:r w:rsidR="00E2737E" w:rsidRPr="004F5DAC">
        <w:rPr>
          <w:rFonts w:ascii="Arial" w:hAnsi="Arial" w:cs="Arial"/>
        </w:rPr>
        <w:t xml:space="preserve"> </w:t>
      </w:r>
      <w:r w:rsidR="00C4730C" w:rsidRPr="004F5DAC">
        <w:rPr>
          <w:rFonts w:ascii="Arial" w:hAnsi="Arial" w:cs="Arial"/>
        </w:rPr>
        <w:t xml:space="preserve">marginally higher than all the </w:t>
      </w:r>
      <w:r w:rsidR="001B0E43" w:rsidRPr="004F5DAC">
        <w:rPr>
          <w:rFonts w:ascii="Arial" w:hAnsi="Arial" w:cs="Arial"/>
        </w:rPr>
        <w:t>comparator</w:t>
      </w:r>
      <w:r w:rsidR="00C4730C" w:rsidRPr="004F5DAC">
        <w:rPr>
          <w:rFonts w:ascii="Arial" w:hAnsi="Arial" w:cs="Arial"/>
        </w:rPr>
        <w:t xml:space="preserve"> figures.</w:t>
      </w:r>
    </w:p>
    <w:p w:rsidR="00C4730C" w:rsidRPr="004F5DAC" w:rsidRDefault="00C4730C" w:rsidP="006C3E4C">
      <w:pPr>
        <w:rPr>
          <w:rFonts w:ascii="Arial" w:hAnsi="Arial" w:cs="Arial"/>
        </w:rPr>
      </w:pPr>
      <w:r w:rsidRPr="004F5DAC">
        <w:rPr>
          <w:rFonts w:ascii="Arial" w:hAnsi="Arial" w:cs="Arial"/>
        </w:rPr>
        <w:t>Custody figures remain low in all our teams with only a slight increase I the East from 2 to 5 young people.</w:t>
      </w:r>
    </w:p>
    <w:p w:rsidR="00C26445" w:rsidRPr="004F5DAC" w:rsidRDefault="00C26445" w:rsidP="00C26445">
      <w:pPr>
        <w:rPr>
          <w:rFonts w:ascii="Arial" w:hAnsi="Arial" w:cs="Arial"/>
        </w:rPr>
      </w:pPr>
    </w:p>
    <w:p w:rsidR="002004FB" w:rsidRPr="004F5DAC" w:rsidRDefault="002004FB">
      <w:pPr>
        <w:rPr>
          <w:rFonts w:ascii="Arial" w:hAnsi="Arial" w:cs="Arial"/>
        </w:rPr>
      </w:pPr>
      <w:r w:rsidRPr="004F5DAC">
        <w:rPr>
          <w:rFonts w:ascii="Arial" w:hAnsi="Arial" w:cs="Arial"/>
        </w:rPr>
        <w:br w:type="page"/>
      </w:r>
    </w:p>
    <w:p w:rsidR="002B4F8B" w:rsidRPr="004F5DAC" w:rsidRDefault="00DF7203" w:rsidP="00C26445">
      <w:pPr>
        <w:rPr>
          <w:rFonts w:ascii="Arial" w:hAnsi="Arial" w:cs="Arial"/>
          <w:b/>
          <w:u w:val="single"/>
        </w:rPr>
      </w:pPr>
      <w:r w:rsidRPr="004F5DAC">
        <w:rPr>
          <w:rFonts w:ascii="Arial" w:hAnsi="Arial" w:cs="Arial"/>
          <w:b/>
          <w:u w:val="single"/>
        </w:rPr>
        <w:lastRenderedPageBreak/>
        <w:t xml:space="preserve">Current </w:t>
      </w:r>
      <w:r w:rsidR="002004FB" w:rsidRPr="004F5DAC">
        <w:rPr>
          <w:rFonts w:ascii="Arial" w:hAnsi="Arial" w:cs="Arial"/>
          <w:b/>
          <w:u w:val="single"/>
        </w:rPr>
        <w:t>LYOT Operational Analysis</w:t>
      </w:r>
      <w:r w:rsidRPr="004F5DAC">
        <w:rPr>
          <w:rFonts w:ascii="Arial" w:hAnsi="Arial" w:cs="Arial"/>
          <w:b/>
          <w:u w:val="single"/>
        </w:rPr>
        <w:t xml:space="preserve"> – key points</w:t>
      </w:r>
    </w:p>
    <w:p w:rsidR="00C613B6" w:rsidRPr="004F5DAC" w:rsidRDefault="00C613B6" w:rsidP="00C613B6">
      <w:pPr>
        <w:rPr>
          <w:rFonts w:ascii="Arial" w:hAnsi="Arial" w:cs="Arial"/>
          <w:color w:val="FF0000"/>
        </w:rPr>
      </w:pPr>
      <w:r w:rsidRPr="004F5DAC">
        <w:rPr>
          <w:rFonts w:ascii="Arial" w:hAnsi="Arial" w:cs="Arial"/>
        </w:rPr>
        <w:t>To further support the data analysis of the three national indicators, each of the three YOT teams carry out a local team analysis meeting each quarter.  At these meetings, the relevant team operational managers, practitioners and performance officers discuss and identify key operational issues which are impacting either directly or indirectly on performance.  The meetings primarily focus on the 3 national indicators, local measures and national standards.</w:t>
      </w:r>
    </w:p>
    <w:p w:rsidR="00C613B6" w:rsidRPr="004F5DAC" w:rsidRDefault="00C613B6" w:rsidP="00C613B6">
      <w:pPr>
        <w:rPr>
          <w:rFonts w:ascii="Arial" w:hAnsi="Arial" w:cs="Arial"/>
        </w:rPr>
      </w:pPr>
      <w:r w:rsidRPr="004F5DAC">
        <w:rPr>
          <w:rFonts w:ascii="Arial" w:hAnsi="Arial" w:cs="Arial"/>
        </w:rPr>
        <w:t>Below are the key themes and issues emerging from these meetings based on exception reporting:</w:t>
      </w:r>
    </w:p>
    <w:p w:rsidR="00C613B6" w:rsidRPr="004F5DAC" w:rsidRDefault="00C613B6" w:rsidP="00C613B6">
      <w:pPr>
        <w:rPr>
          <w:rFonts w:ascii="Arial" w:hAnsi="Arial" w:cs="Arial"/>
          <w:b/>
          <w:u w:val="single"/>
        </w:rPr>
      </w:pPr>
    </w:p>
    <w:p w:rsidR="00C613B6" w:rsidRPr="004F5DAC" w:rsidRDefault="00C613B6" w:rsidP="00C613B6">
      <w:pPr>
        <w:rPr>
          <w:rFonts w:ascii="Arial" w:hAnsi="Arial" w:cs="Arial"/>
          <w:b/>
          <w:u w:val="single"/>
        </w:rPr>
      </w:pPr>
      <w:r w:rsidRPr="004F5DAC">
        <w:rPr>
          <w:rFonts w:ascii="Arial" w:hAnsi="Arial" w:cs="Arial"/>
          <w:b/>
          <w:u w:val="single"/>
        </w:rPr>
        <w:t>LYOT North Team</w:t>
      </w:r>
    </w:p>
    <w:p w:rsidR="0056157B" w:rsidRPr="004F5DAC" w:rsidRDefault="0056157B" w:rsidP="00C613B6">
      <w:pPr>
        <w:rPr>
          <w:rFonts w:ascii="Arial" w:hAnsi="Arial" w:cs="Arial"/>
        </w:rPr>
      </w:pPr>
      <w:r w:rsidRPr="004F5DAC">
        <w:rPr>
          <w:rFonts w:ascii="Arial" w:hAnsi="Arial" w:cs="Arial"/>
        </w:rPr>
        <w:t>The first time entrants' rate continues to decrease in the North together with increases in triage figures.  This indicates effective use of triage as an alternative to court action.</w:t>
      </w:r>
    </w:p>
    <w:p w:rsidR="00E95D80" w:rsidRPr="004F5DAC" w:rsidRDefault="00E95D80" w:rsidP="00C613B6">
      <w:pPr>
        <w:rPr>
          <w:rFonts w:ascii="Arial" w:hAnsi="Arial" w:cs="Arial"/>
        </w:rPr>
      </w:pPr>
      <w:r w:rsidRPr="004F5DAC">
        <w:rPr>
          <w:rFonts w:ascii="Arial" w:hAnsi="Arial" w:cs="Arial"/>
        </w:rPr>
        <w:t xml:space="preserve">The Lancashire MOJ rate which is 18 months behind, has seen an increase in reoffending.  This correlates with the five young people </w:t>
      </w:r>
      <w:r w:rsidR="00DB7D4B" w:rsidRPr="004F5DAC">
        <w:rPr>
          <w:rFonts w:ascii="Arial" w:hAnsi="Arial" w:cs="Arial"/>
        </w:rPr>
        <w:t>who had received ASBOs and then subsequently went on to commit a high number of offences.</w:t>
      </w:r>
    </w:p>
    <w:p w:rsidR="00DB7D4B" w:rsidRPr="004F5DAC" w:rsidRDefault="00DB7D4B" w:rsidP="00C613B6">
      <w:pPr>
        <w:rPr>
          <w:rFonts w:ascii="Arial" w:hAnsi="Arial" w:cs="Arial"/>
        </w:rPr>
      </w:pPr>
      <w:r w:rsidRPr="004F5DAC">
        <w:rPr>
          <w:rFonts w:ascii="Arial" w:hAnsi="Arial" w:cs="Arial"/>
        </w:rPr>
        <w:t xml:space="preserve">Custody rates have remained static for a long time now and of the 3 young people who received custody: one was 19 years old at sentence and the other two were as a result of </w:t>
      </w:r>
      <w:r w:rsidR="00EB3803" w:rsidRPr="004F5DAC">
        <w:rPr>
          <w:rFonts w:ascii="Arial" w:hAnsi="Arial" w:cs="Arial"/>
        </w:rPr>
        <w:t>the serious nature of their offending</w:t>
      </w:r>
      <w:r w:rsidRPr="004F5DAC">
        <w:rPr>
          <w:rFonts w:ascii="Arial" w:hAnsi="Arial" w:cs="Arial"/>
        </w:rPr>
        <w:t xml:space="preserve"> and breach of their ISS requirements.</w:t>
      </w:r>
    </w:p>
    <w:p w:rsidR="00C613B6" w:rsidRPr="004F5DAC" w:rsidRDefault="00DB7D4B" w:rsidP="00C613B6">
      <w:pPr>
        <w:rPr>
          <w:rFonts w:ascii="Arial" w:hAnsi="Arial" w:cs="Arial"/>
        </w:rPr>
      </w:pPr>
      <w:r w:rsidRPr="004F5DAC">
        <w:rPr>
          <w:rFonts w:ascii="Arial" w:hAnsi="Arial" w:cs="Arial"/>
        </w:rPr>
        <w:t>National standards compliance was very good at 81%.</w:t>
      </w:r>
      <w:bookmarkStart w:id="0" w:name="_GoBack"/>
      <w:bookmarkEnd w:id="0"/>
    </w:p>
    <w:p w:rsidR="00C613B6" w:rsidRPr="004F5DAC" w:rsidRDefault="00C613B6" w:rsidP="00C613B6">
      <w:pPr>
        <w:rPr>
          <w:rFonts w:ascii="Arial" w:hAnsi="Arial" w:cs="Arial"/>
          <w:b/>
          <w:u w:val="single"/>
        </w:rPr>
      </w:pPr>
      <w:r w:rsidRPr="004F5DAC">
        <w:rPr>
          <w:rFonts w:ascii="Arial" w:hAnsi="Arial" w:cs="Arial"/>
          <w:b/>
          <w:u w:val="single"/>
        </w:rPr>
        <w:t>South Central Team</w:t>
      </w:r>
    </w:p>
    <w:p w:rsidR="00EB3803" w:rsidRPr="004F5DAC" w:rsidRDefault="00DB7D4B" w:rsidP="00C613B6">
      <w:pPr>
        <w:rPr>
          <w:rFonts w:ascii="Arial" w:hAnsi="Arial" w:cs="Arial"/>
        </w:rPr>
      </w:pPr>
      <w:r w:rsidRPr="004F5DAC">
        <w:rPr>
          <w:rFonts w:ascii="Arial" w:hAnsi="Arial" w:cs="Arial"/>
        </w:rPr>
        <w:t>There has been a number of pe</w:t>
      </w:r>
      <w:r w:rsidR="00EB3803" w:rsidRPr="004F5DAC">
        <w:rPr>
          <w:rFonts w:ascii="Arial" w:hAnsi="Arial" w:cs="Arial"/>
        </w:rPr>
        <w:t>rsonnel changes within the South Central team in recent months.  A</w:t>
      </w:r>
      <w:r w:rsidRPr="004F5DAC">
        <w:rPr>
          <w:rFonts w:ascii="Arial" w:hAnsi="Arial" w:cs="Arial"/>
        </w:rPr>
        <w:t xml:space="preserve"> new T</w:t>
      </w:r>
      <w:r w:rsidR="00EB3803" w:rsidRPr="004F5DAC">
        <w:rPr>
          <w:rFonts w:ascii="Arial" w:hAnsi="Arial" w:cs="Arial"/>
        </w:rPr>
        <w:t>eam Manager started</w:t>
      </w:r>
      <w:r w:rsidRPr="004F5DAC">
        <w:rPr>
          <w:rFonts w:ascii="Arial" w:hAnsi="Arial" w:cs="Arial"/>
        </w:rPr>
        <w:t xml:space="preserve"> in April </w:t>
      </w:r>
      <w:r w:rsidR="00EB3803" w:rsidRPr="004F5DAC">
        <w:rPr>
          <w:rFonts w:ascii="Arial" w:hAnsi="Arial" w:cs="Arial"/>
        </w:rPr>
        <w:t>and a Practice Manager left</w:t>
      </w:r>
      <w:r w:rsidRPr="004F5DAC">
        <w:rPr>
          <w:rFonts w:ascii="Arial" w:hAnsi="Arial" w:cs="Arial"/>
        </w:rPr>
        <w:t xml:space="preserve"> in May</w:t>
      </w:r>
      <w:r w:rsidR="00EB3803" w:rsidRPr="004F5DAC">
        <w:rPr>
          <w:rFonts w:ascii="Arial" w:hAnsi="Arial" w:cs="Arial"/>
        </w:rPr>
        <w:t>, to be repl</w:t>
      </w:r>
      <w:r w:rsidR="00063D27" w:rsidRPr="004F5DAC">
        <w:rPr>
          <w:rFonts w:ascii="Arial" w:hAnsi="Arial" w:cs="Arial"/>
        </w:rPr>
        <w:t xml:space="preserve">aced in July.  </w:t>
      </w:r>
    </w:p>
    <w:p w:rsidR="00063D27" w:rsidRPr="004F5DAC" w:rsidRDefault="00063D27" w:rsidP="00C613B6">
      <w:pPr>
        <w:rPr>
          <w:rFonts w:ascii="Arial" w:hAnsi="Arial" w:cs="Arial"/>
        </w:rPr>
      </w:pPr>
      <w:r w:rsidRPr="004F5DAC">
        <w:rPr>
          <w:rFonts w:ascii="Arial" w:hAnsi="Arial" w:cs="Arial"/>
        </w:rPr>
        <w:t>The last quarter has seen an increase in the number of new orders starting.  The team also continue</w:t>
      </w:r>
      <w:r w:rsidR="00EB3803" w:rsidRPr="004F5DAC">
        <w:rPr>
          <w:rFonts w:ascii="Arial" w:hAnsi="Arial" w:cs="Arial"/>
        </w:rPr>
        <w:t>s</w:t>
      </w:r>
      <w:r w:rsidRPr="004F5DAC">
        <w:rPr>
          <w:rFonts w:ascii="Arial" w:hAnsi="Arial" w:cs="Arial"/>
        </w:rPr>
        <w:t xml:space="preserve"> to manage a high caseload of young people who are assessed as a high or very high risk of serious harm to themselves (25</w:t>
      </w:r>
      <w:r w:rsidR="00EB3803" w:rsidRPr="004F5DAC">
        <w:rPr>
          <w:rFonts w:ascii="Arial" w:hAnsi="Arial" w:cs="Arial"/>
        </w:rPr>
        <w:t xml:space="preserve"> young people</w:t>
      </w:r>
      <w:r w:rsidRPr="004F5DAC">
        <w:rPr>
          <w:rFonts w:ascii="Arial" w:hAnsi="Arial" w:cs="Arial"/>
        </w:rPr>
        <w:t xml:space="preserve">), those assessed as high risk of harm to others (18 </w:t>
      </w:r>
      <w:r w:rsidR="00EB3803" w:rsidRPr="004F5DAC">
        <w:rPr>
          <w:rFonts w:ascii="Arial" w:hAnsi="Arial" w:cs="Arial"/>
        </w:rPr>
        <w:t>young people</w:t>
      </w:r>
      <w:r w:rsidRPr="004F5DAC">
        <w:rPr>
          <w:rFonts w:ascii="Arial" w:hAnsi="Arial" w:cs="Arial"/>
        </w:rPr>
        <w:t>) and five MAPPA cases.</w:t>
      </w:r>
    </w:p>
    <w:p w:rsidR="00DB7D4B" w:rsidRPr="004F5DAC" w:rsidRDefault="00EB3803" w:rsidP="00C613B6">
      <w:pPr>
        <w:rPr>
          <w:rFonts w:ascii="Arial" w:hAnsi="Arial" w:cs="Arial"/>
        </w:rPr>
      </w:pPr>
      <w:r w:rsidRPr="004F5DAC">
        <w:rPr>
          <w:rFonts w:ascii="Arial" w:hAnsi="Arial" w:cs="Arial"/>
        </w:rPr>
        <w:t>The f</w:t>
      </w:r>
      <w:r w:rsidR="00063D27" w:rsidRPr="004F5DAC">
        <w:rPr>
          <w:rFonts w:ascii="Arial" w:hAnsi="Arial" w:cs="Arial"/>
        </w:rPr>
        <w:t xml:space="preserve">irst </w:t>
      </w:r>
      <w:r w:rsidRPr="004F5DAC">
        <w:rPr>
          <w:rFonts w:ascii="Arial" w:hAnsi="Arial" w:cs="Arial"/>
        </w:rPr>
        <w:t>t</w:t>
      </w:r>
      <w:r w:rsidR="00063D27" w:rsidRPr="004F5DAC">
        <w:rPr>
          <w:rFonts w:ascii="Arial" w:hAnsi="Arial" w:cs="Arial"/>
        </w:rPr>
        <w:t xml:space="preserve">ime </w:t>
      </w:r>
      <w:r w:rsidRPr="004F5DAC">
        <w:rPr>
          <w:rFonts w:ascii="Arial" w:hAnsi="Arial" w:cs="Arial"/>
        </w:rPr>
        <w:t>e</w:t>
      </w:r>
      <w:r w:rsidR="00063D27" w:rsidRPr="004F5DAC">
        <w:rPr>
          <w:rFonts w:ascii="Arial" w:hAnsi="Arial" w:cs="Arial"/>
        </w:rPr>
        <w:t>ntrants</w:t>
      </w:r>
      <w:r w:rsidRPr="004F5DAC">
        <w:rPr>
          <w:rFonts w:ascii="Arial" w:hAnsi="Arial" w:cs="Arial"/>
        </w:rPr>
        <w:t>'</w:t>
      </w:r>
      <w:r w:rsidR="00063D27" w:rsidRPr="004F5DAC">
        <w:rPr>
          <w:rFonts w:ascii="Arial" w:hAnsi="Arial" w:cs="Arial"/>
        </w:rPr>
        <w:t xml:space="preserve"> rate is still deceasing in the team.  This is testament to the work done by the Police Officers delivering training sessions to other Police colleagues in the division as alternatives to out of court disposals, such as co</w:t>
      </w:r>
      <w:r w:rsidR="00212F76" w:rsidRPr="004F5DAC">
        <w:rPr>
          <w:rFonts w:ascii="Arial" w:hAnsi="Arial" w:cs="Arial"/>
        </w:rPr>
        <w:t>mmunity resolution, triage and restorative justice</w:t>
      </w:r>
      <w:r w:rsidR="00063D27" w:rsidRPr="004F5DAC">
        <w:rPr>
          <w:rFonts w:ascii="Arial" w:hAnsi="Arial" w:cs="Arial"/>
        </w:rPr>
        <w:t xml:space="preserve"> options.</w:t>
      </w:r>
    </w:p>
    <w:p w:rsidR="00DB7D4B" w:rsidRPr="004F5DAC" w:rsidRDefault="003B35F4" w:rsidP="00C613B6">
      <w:pPr>
        <w:rPr>
          <w:rFonts w:ascii="Arial" w:hAnsi="Arial" w:cs="Arial"/>
        </w:rPr>
      </w:pPr>
      <w:r w:rsidRPr="004F5DAC">
        <w:rPr>
          <w:rFonts w:ascii="Arial" w:hAnsi="Arial" w:cs="Arial"/>
        </w:rPr>
        <w:t xml:space="preserve">Reoffending is the highest in the county for </w:t>
      </w:r>
      <w:r w:rsidR="00212F76" w:rsidRPr="004F5DAC">
        <w:rPr>
          <w:rFonts w:ascii="Arial" w:hAnsi="Arial" w:cs="Arial"/>
        </w:rPr>
        <w:t xml:space="preserve">the </w:t>
      </w:r>
      <w:r w:rsidRPr="004F5DAC">
        <w:rPr>
          <w:rFonts w:ascii="Arial" w:hAnsi="Arial" w:cs="Arial"/>
        </w:rPr>
        <w:t>South Central Team.  The team are planning some 'deep dive' analysis to determine some of the underlying causes of this.</w:t>
      </w:r>
    </w:p>
    <w:p w:rsidR="003B35F4" w:rsidRPr="004F5DAC" w:rsidRDefault="003B35F4" w:rsidP="00C613B6">
      <w:pPr>
        <w:rPr>
          <w:rFonts w:ascii="Arial" w:hAnsi="Arial" w:cs="Arial"/>
        </w:rPr>
      </w:pPr>
      <w:r w:rsidRPr="004F5DAC">
        <w:rPr>
          <w:rFonts w:ascii="Arial" w:hAnsi="Arial" w:cs="Arial"/>
        </w:rPr>
        <w:t>Custody levels have reduced in the last quarter, however remain the highest for the county.  Unfortunately despite robust alternatives to custody being recommended, most of the cases inevitably received custody due to the serious nature of the offending.  Only one custody panel meeting took place last quarter and the team are to ensure that these are completed in all instances.</w:t>
      </w:r>
    </w:p>
    <w:p w:rsidR="003B35F4" w:rsidRPr="004F5DAC" w:rsidRDefault="003B35F4" w:rsidP="003B35F4">
      <w:pPr>
        <w:rPr>
          <w:rFonts w:ascii="Arial" w:hAnsi="Arial" w:cs="Arial"/>
        </w:rPr>
      </w:pPr>
      <w:r w:rsidRPr="004F5DAC">
        <w:rPr>
          <w:rFonts w:ascii="Arial" w:hAnsi="Arial" w:cs="Arial"/>
        </w:rPr>
        <w:t>National standards compliance was very good at 81%.</w:t>
      </w:r>
    </w:p>
    <w:p w:rsidR="003B35F4" w:rsidRPr="004F5DAC" w:rsidRDefault="003B35F4" w:rsidP="00C613B6">
      <w:pPr>
        <w:rPr>
          <w:rFonts w:ascii="Arial" w:hAnsi="Arial" w:cs="Arial"/>
        </w:rPr>
      </w:pPr>
    </w:p>
    <w:p w:rsidR="003B35F4" w:rsidRPr="004F5DAC" w:rsidRDefault="003B35F4" w:rsidP="00C613B6">
      <w:pPr>
        <w:rPr>
          <w:rFonts w:ascii="Arial" w:hAnsi="Arial" w:cs="Arial"/>
        </w:rPr>
      </w:pPr>
    </w:p>
    <w:p w:rsidR="00C613B6" w:rsidRPr="004F5DAC" w:rsidRDefault="00C613B6" w:rsidP="00C613B6">
      <w:pPr>
        <w:rPr>
          <w:rFonts w:ascii="Arial" w:hAnsi="Arial" w:cs="Arial"/>
          <w:b/>
          <w:u w:val="single"/>
        </w:rPr>
      </w:pPr>
      <w:r w:rsidRPr="004F5DAC">
        <w:rPr>
          <w:rFonts w:ascii="Arial" w:hAnsi="Arial" w:cs="Arial"/>
          <w:b/>
          <w:u w:val="single"/>
        </w:rPr>
        <w:t>East Team</w:t>
      </w:r>
    </w:p>
    <w:p w:rsidR="00C613B6" w:rsidRPr="004F5DAC" w:rsidRDefault="00212F76" w:rsidP="00C613B6">
      <w:pPr>
        <w:rPr>
          <w:rFonts w:ascii="Arial" w:hAnsi="Arial" w:cs="Arial"/>
        </w:rPr>
      </w:pPr>
      <w:r w:rsidRPr="004F5DAC">
        <w:rPr>
          <w:rFonts w:ascii="Arial" w:hAnsi="Arial" w:cs="Arial"/>
        </w:rPr>
        <w:t>The first time entrants'</w:t>
      </w:r>
      <w:r w:rsidR="00CE5D55" w:rsidRPr="004F5DAC">
        <w:rPr>
          <w:rFonts w:ascii="Arial" w:hAnsi="Arial" w:cs="Arial"/>
        </w:rPr>
        <w:t xml:space="preserve"> rate has seen a slight increase for the quarter to 56 young people per 100,000 of the 10-17 population.  This is the highest rate in the county however significantly lower than previous historical rates.  This is not a consistent trend across all district in the area.  There is a view that inconsistent outcomes from the two Out of Court Disposal Panels (Burnley &amp; Hyndburn) may be having an impact.  This is being addressed by the attendance of a practice manager which is helping to achieve greater equity in process between the two panels.</w:t>
      </w:r>
    </w:p>
    <w:p w:rsidR="00CE5D55" w:rsidRPr="004F5DAC" w:rsidRDefault="00CE5D55" w:rsidP="00C613B6">
      <w:pPr>
        <w:rPr>
          <w:rFonts w:ascii="Arial" w:hAnsi="Arial" w:cs="Arial"/>
        </w:rPr>
      </w:pPr>
      <w:r w:rsidRPr="004F5DAC">
        <w:rPr>
          <w:rFonts w:ascii="Arial" w:hAnsi="Arial" w:cs="Arial"/>
        </w:rPr>
        <w:t>The local reoffending rate has reduced for the East in the last quarter.  The use of constructive and creative activities in the area has seen an increase in engagement with young people, in contrast to the usual office-based intervention.</w:t>
      </w:r>
      <w:r w:rsidR="005F0417" w:rsidRPr="004F5DAC">
        <w:rPr>
          <w:rFonts w:ascii="Arial" w:hAnsi="Arial" w:cs="Arial"/>
        </w:rPr>
        <w:t xml:space="preserve">  Activities have included:</w:t>
      </w:r>
    </w:p>
    <w:p w:rsidR="005F0417" w:rsidRPr="004F5DAC" w:rsidRDefault="005F0417" w:rsidP="005F0417">
      <w:pPr>
        <w:pStyle w:val="ListParagraph"/>
        <w:numPr>
          <w:ilvl w:val="0"/>
          <w:numId w:val="17"/>
        </w:numPr>
        <w:rPr>
          <w:rFonts w:ascii="Arial" w:hAnsi="Arial" w:cs="Arial"/>
        </w:rPr>
      </w:pPr>
      <w:r w:rsidRPr="004F5DAC">
        <w:rPr>
          <w:rFonts w:ascii="Arial" w:hAnsi="Arial" w:cs="Arial"/>
        </w:rPr>
        <w:t>Work sessions with the Canal &amp; Rivers Trust to make bird boxes and clearing ground near the canal;</w:t>
      </w:r>
    </w:p>
    <w:p w:rsidR="005F0417" w:rsidRPr="004F5DAC" w:rsidRDefault="005F0417" w:rsidP="005F0417">
      <w:pPr>
        <w:pStyle w:val="ListParagraph"/>
        <w:numPr>
          <w:ilvl w:val="0"/>
          <w:numId w:val="17"/>
        </w:numPr>
        <w:rPr>
          <w:rFonts w:ascii="Arial" w:hAnsi="Arial" w:cs="Arial"/>
        </w:rPr>
      </w:pPr>
      <w:r w:rsidRPr="004F5DAC">
        <w:rPr>
          <w:rFonts w:ascii="Arial" w:hAnsi="Arial" w:cs="Arial"/>
        </w:rPr>
        <w:t>Cookery events – enabling young people to learn valuable life skills;</w:t>
      </w:r>
    </w:p>
    <w:p w:rsidR="005F0417" w:rsidRPr="004F5DAC" w:rsidRDefault="005F0417" w:rsidP="005F0417">
      <w:pPr>
        <w:pStyle w:val="ListParagraph"/>
        <w:numPr>
          <w:ilvl w:val="0"/>
          <w:numId w:val="17"/>
        </w:numPr>
        <w:rPr>
          <w:rFonts w:ascii="Arial" w:hAnsi="Arial" w:cs="Arial"/>
        </w:rPr>
      </w:pPr>
      <w:r w:rsidRPr="004F5DAC">
        <w:rPr>
          <w:rFonts w:ascii="Arial" w:hAnsi="Arial" w:cs="Arial"/>
        </w:rPr>
        <w:t>Sports sessions such as football, rugby (non-contact) and arts activities.</w:t>
      </w:r>
    </w:p>
    <w:p w:rsidR="005F0417" w:rsidRPr="004F5DAC" w:rsidRDefault="005F0417" w:rsidP="005F0417">
      <w:pPr>
        <w:rPr>
          <w:rFonts w:ascii="Arial" w:hAnsi="Arial" w:cs="Arial"/>
        </w:rPr>
      </w:pPr>
      <w:r w:rsidRPr="004F5DAC">
        <w:rPr>
          <w:rFonts w:ascii="Arial" w:hAnsi="Arial" w:cs="Arial"/>
        </w:rPr>
        <w:t>Custody has slightly increased in the current quarter, however still remains low and stable.  Robust community packages were proposed to the courts, however the seriousness of the offending resulted in an inevitable custodial sentence.</w:t>
      </w:r>
    </w:p>
    <w:p w:rsidR="00EB3803" w:rsidRPr="004F5DAC" w:rsidRDefault="00EB3803" w:rsidP="00EB3803">
      <w:pPr>
        <w:rPr>
          <w:rFonts w:ascii="Arial" w:hAnsi="Arial" w:cs="Arial"/>
        </w:rPr>
      </w:pPr>
      <w:r w:rsidRPr="004F5DAC">
        <w:rPr>
          <w:rFonts w:ascii="Arial" w:hAnsi="Arial" w:cs="Arial"/>
        </w:rPr>
        <w:t>National standards compliance was very good at 83%.</w:t>
      </w:r>
    </w:p>
    <w:p w:rsidR="005F0417" w:rsidRPr="004F5DAC" w:rsidRDefault="005F0417" w:rsidP="002004FB">
      <w:pPr>
        <w:rPr>
          <w:rFonts w:ascii="Arial" w:hAnsi="Arial" w:cs="Arial"/>
        </w:rPr>
      </w:pPr>
    </w:p>
    <w:p w:rsidR="005F0417" w:rsidRPr="004F5DAC" w:rsidRDefault="005F0417" w:rsidP="002004FB">
      <w:pPr>
        <w:rPr>
          <w:rFonts w:ascii="Arial" w:hAnsi="Arial" w:cs="Arial"/>
        </w:rPr>
      </w:pPr>
    </w:p>
    <w:p w:rsidR="00DF7203" w:rsidRPr="004F5DAC" w:rsidRDefault="00C84CDF" w:rsidP="002004FB">
      <w:pPr>
        <w:rPr>
          <w:rFonts w:ascii="Arial" w:hAnsi="Arial" w:cs="Arial"/>
        </w:rPr>
      </w:pPr>
      <w:r w:rsidRPr="004F5DAC">
        <w:rPr>
          <w:rFonts w:ascii="Arial" w:hAnsi="Arial" w:cs="Arial"/>
        </w:rPr>
        <w:t>Mukhtar Master,</w:t>
      </w:r>
      <w:r w:rsidR="009C3149" w:rsidRPr="004F5DAC">
        <w:rPr>
          <w:rFonts w:ascii="Arial" w:hAnsi="Arial" w:cs="Arial"/>
        </w:rPr>
        <w:br/>
        <w:t>Performance &amp; Information Manager,</w:t>
      </w:r>
      <w:r w:rsidR="009C3149" w:rsidRPr="004F5DAC">
        <w:rPr>
          <w:rFonts w:ascii="Arial" w:hAnsi="Arial" w:cs="Arial"/>
        </w:rPr>
        <w:br/>
      </w:r>
      <w:r w:rsidR="005F0417" w:rsidRPr="004F5DAC">
        <w:rPr>
          <w:rFonts w:ascii="Arial" w:hAnsi="Arial" w:cs="Arial"/>
        </w:rPr>
        <w:t>September</w:t>
      </w:r>
      <w:r w:rsidR="00344648" w:rsidRPr="004F5DAC">
        <w:rPr>
          <w:rFonts w:ascii="Arial" w:hAnsi="Arial" w:cs="Arial"/>
        </w:rPr>
        <w:t xml:space="preserve"> </w:t>
      </w:r>
      <w:r w:rsidR="005F0417" w:rsidRPr="004F5DAC">
        <w:rPr>
          <w:rFonts w:ascii="Arial" w:hAnsi="Arial" w:cs="Arial"/>
        </w:rPr>
        <w:t>2015</w:t>
      </w:r>
      <w:r w:rsidR="009C3149" w:rsidRPr="004F5DAC">
        <w:rPr>
          <w:rFonts w:ascii="Arial" w:hAnsi="Arial" w:cs="Arial"/>
        </w:rPr>
        <w:t>.</w:t>
      </w:r>
    </w:p>
    <w:sectPr w:rsidR="00DF7203" w:rsidRPr="004F5DAC" w:rsidSect="00EF4AD0">
      <w:footerReference w:type="default" r:id="rId2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5F" w:rsidRDefault="0067225F" w:rsidP="00831DD8">
      <w:pPr>
        <w:spacing w:after="0" w:line="240" w:lineRule="auto"/>
      </w:pPr>
      <w:r>
        <w:separator/>
      </w:r>
    </w:p>
  </w:endnote>
  <w:endnote w:type="continuationSeparator" w:id="0">
    <w:p w:rsidR="0067225F" w:rsidRDefault="0067225F" w:rsidP="0083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72"/>
      <w:docPartObj>
        <w:docPartGallery w:val="Page Numbers (Bottom of Page)"/>
        <w:docPartUnique/>
      </w:docPartObj>
    </w:sdtPr>
    <w:sdtEndPr/>
    <w:sdtContent>
      <w:sdt>
        <w:sdtPr>
          <w:id w:val="565050477"/>
          <w:docPartObj>
            <w:docPartGallery w:val="Page Numbers (Top of Page)"/>
            <w:docPartUnique/>
          </w:docPartObj>
        </w:sdtPr>
        <w:sdtEndPr/>
        <w:sdtContent>
          <w:p w:rsidR="00CC3158" w:rsidRDefault="00CC3158">
            <w:pPr>
              <w:pStyle w:val="Footer"/>
              <w:jc w:val="center"/>
            </w:pPr>
            <w:r>
              <w:t xml:space="preserve">Page </w:t>
            </w:r>
            <w:r w:rsidR="0050375C">
              <w:rPr>
                <w:b/>
                <w:sz w:val="24"/>
                <w:szCs w:val="24"/>
              </w:rPr>
              <w:fldChar w:fldCharType="begin"/>
            </w:r>
            <w:r>
              <w:rPr>
                <w:b/>
              </w:rPr>
              <w:instrText xml:space="preserve"> PAGE </w:instrText>
            </w:r>
            <w:r w:rsidR="0050375C">
              <w:rPr>
                <w:b/>
                <w:sz w:val="24"/>
                <w:szCs w:val="24"/>
              </w:rPr>
              <w:fldChar w:fldCharType="separate"/>
            </w:r>
            <w:r w:rsidR="004F5DAC">
              <w:rPr>
                <w:b/>
                <w:noProof/>
              </w:rPr>
              <w:t>8</w:t>
            </w:r>
            <w:r w:rsidR="0050375C">
              <w:rPr>
                <w:b/>
                <w:sz w:val="24"/>
                <w:szCs w:val="24"/>
              </w:rPr>
              <w:fldChar w:fldCharType="end"/>
            </w:r>
            <w:r>
              <w:t xml:space="preserve"> of </w:t>
            </w:r>
            <w:r w:rsidR="0050375C">
              <w:rPr>
                <w:b/>
                <w:sz w:val="24"/>
                <w:szCs w:val="24"/>
              </w:rPr>
              <w:fldChar w:fldCharType="begin"/>
            </w:r>
            <w:r>
              <w:rPr>
                <w:b/>
              </w:rPr>
              <w:instrText xml:space="preserve"> NUMPAGES  </w:instrText>
            </w:r>
            <w:r w:rsidR="0050375C">
              <w:rPr>
                <w:b/>
                <w:sz w:val="24"/>
                <w:szCs w:val="24"/>
              </w:rPr>
              <w:fldChar w:fldCharType="separate"/>
            </w:r>
            <w:r w:rsidR="004F5DAC">
              <w:rPr>
                <w:b/>
                <w:noProof/>
              </w:rPr>
              <w:t>8</w:t>
            </w:r>
            <w:r w:rsidR="0050375C">
              <w:rPr>
                <w:b/>
                <w:sz w:val="24"/>
                <w:szCs w:val="24"/>
              </w:rPr>
              <w:fldChar w:fldCharType="end"/>
            </w:r>
          </w:p>
        </w:sdtContent>
      </w:sdt>
    </w:sdtContent>
  </w:sdt>
  <w:p w:rsidR="00CC3158" w:rsidRDefault="00CC3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5F" w:rsidRDefault="0067225F" w:rsidP="00831DD8">
      <w:pPr>
        <w:spacing w:after="0" w:line="240" w:lineRule="auto"/>
      </w:pPr>
      <w:r>
        <w:separator/>
      </w:r>
    </w:p>
  </w:footnote>
  <w:footnote w:type="continuationSeparator" w:id="0">
    <w:p w:rsidR="0067225F" w:rsidRDefault="0067225F" w:rsidP="00831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5F44"/>
    <w:multiLevelType w:val="hybridMultilevel"/>
    <w:tmpl w:val="1E3A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544F0"/>
    <w:multiLevelType w:val="hybridMultilevel"/>
    <w:tmpl w:val="F3E2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93199"/>
    <w:multiLevelType w:val="hybridMultilevel"/>
    <w:tmpl w:val="0706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4A7"/>
    <w:multiLevelType w:val="hybridMultilevel"/>
    <w:tmpl w:val="9BE89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D379E"/>
    <w:multiLevelType w:val="hybridMultilevel"/>
    <w:tmpl w:val="C24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26CBA"/>
    <w:multiLevelType w:val="hybridMultilevel"/>
    <w:tmpl w:val="BD48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F16DF"/>
    <w:multiLevelType w:val="hybridMultilevel"/>
    <w:tmpl w:val="3150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95EB0"/>
    <w:multiLevelType w:val="hybridMultilevel"/>
    <w:tmpl w:val="D298A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42007"/>
    <w:multiLevelType w:val="hybridMultilevel"/>
    <w:tmpl w:val="E0C4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56581"/>
    <w:multiLevelType w:val="hybridMultilevel"/>
    <w:tmpl w:val="85A0C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A1DFB"/>
    <w:multiLevelType w:val="hybridMultilevel"/>
    <w:tmpl w:val="D81E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D2897"/>
    <w:multiLevelType w:val="hybridMultilevel"/>
    <w:tmpl w:val="DA489898"/>
    <w:lvl w:ilvl="0" w:tplc="0809000F">
      <w:start w:val="1"/>
      <w:numFmt w:val="decimal"/>
      <w:lvlText w:val="%1."/>
      <w:lvlJc w:val="left"/>
      <w:pPr>
        <w:ind w:left="837" w:hanging="360"/>
      </w:pPr>
    </w:lvl>
    <w:lvl w:ilvl="1" w:tplc="08090019">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2" w15:restartNumberingAfterBreak="0">
    <w:nsid w:val="4B692F88"/>
    <w:multiLevelType w:val="hybridMultilevel"/>
    <w:tmpl w:val="5EF8EF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942D64"/>
    <w:multiLevelType w:val="hybridMultilevel"/>
    <w:tmpl w:val="08F05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432FFF"/>
    <w:multiLevelType w:val="hybridMultilevel"/>
    <w:tmpl w:val="0B8C74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383793"/>
    <w:multiLevelType w:val="hybridMultilevel"/>
    <w:tmpl w:val="2312C7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2B38AE"/>
    <w:multiLevelType w:val="hybridMultilevel"/>
    <w:tmpl w:val="41C452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2"/>
  </w:num>
  <w:num w:numId="2">
    <w:abstractNumId w:val="3"/>
  </w:num>
  <w:num w:numId="3">
    <w:abstractNumId w:val="6"/>
  </w:num>
  <w:num w:numId="4">
    <w:abstractNumId w:val="14"/>
  </w:num>
  <w:num w:numId="5">
    <w:abstractNumId w:val="9"/>
  </w:num>
  <w:num w:numId="6">
    <w:abstractNumId w:val="15"/>
  </w:num>
  <w:num w:numId="7">
    <w:abstractNumId w:val="13"/>
  </w:num>
  <w:num w:numId="8">
    <w:abstractNumId w:val="1"/>
  </w:num>
  <w:num w:numId="9">
    <w:abstractNumId w:val="7"/>
  </w:num>
  <w:num w:numId="10">
    <w:abstractNumId w:val="8"/>
  </w:num>
  <w:num w:numId="11">
    <w:abstractNumId w:val="11"/>
  </w:num>
  <w:num w:numId="12">
    <w:abstractNumId w:val="5"/>
  </w:num>
  <w:num w:numId="13">
    <w:abstractNumId w:val="16"/>
  </w:num>
  <w:num w:numId="14">
    <w:abstractNumId w:val="2"/>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0B"/>
    <w:rsid w:val="000268ED"/>
    <w:rsid w:val="00031B3B"/>
    <w:rsid w:val="00034C3F"/>
    <w:rsid w:val="0005123B"/>
    <w:rsid w:val="00063D27"/>
    <w:rsid w:val="0006602F"/>
    <w:rsid w:val="0007058B"/>
    <w:rsid w:val="000707D8"/>
    <w:rsid w:val="000805A8"/>
    <w:rsid w:val="00080C11"/>
    <w:rsid w:val="00086B0F"/>
    <w:rsid w:val="000910E6"/>
    <w:rsid w:val="000B471C"/>
    <w:rsid w:val="000E6689"/>
    <w:rsid w:val="001141B4"/>
    <w:rsid w:val="001203F0"/>
    <w:rsid w:val="001231D0"/>
    <w:rsid w:val="0013286A"/>
    <w:rsid w:val="00134C57"/>
    <w:rsid w:val="0013699B"/>
    <w:rsid w:val="00152B10"/>
    <w:rsid w:val="001642A1"/>
    <w:rsid w:val="00170531"/>
    <w:rsid w:val="00173D13"/>
    <w:rsid w:val="00183B92"/>
    <w:rsid w:val="0018680D"/>
    <w:rsid w:val="00187408"/>
    <w:rsid w:val="001A05FE"/>
    <w:rsid w:val="001B0E43"/>
    <w:rsid w:val="001B74D6"/>
    <w:rsid w:val="001D77B6"/>
    <w:rsid w:val="001E6345"/>
    <w:rsid w:val="001F2FF3"/>
    <w:rsid w:val="002004FB"/>
    <w:rsid w:val="00212F76"/>
    <w:rsid w:val="0024480A"/>
    <w:rsid w:val="0024658E"/>
    <w:rsid w:val="00247750"/>
    <w:rsid w:val="00261EB8"/>
    <w:rsid w:val="002627FE"/>
    <w:rsid w:val="002923DD"/>
    <w:rsid w:val="00293F83"/>
    <w:rsid w:val="00297BB9"/>
    <w:rsid w:val="002B4F8B"/>
    <w:rsid w:val="002D5943"/>
    <w:rsid w:val="002E140A"/>
    <w:rsid w:val="002E43F1"/>
    <w:rsid w:val="002E57B4"/>
    <w:rsid w:val="002F3FA8"/>
    <w:rsid w:val="002F5D5E"/>
    <w:rsid w:val="00306CA1"/>
    <w:rsid w:val="00317109"/>
    <w:rsid w:val="00322FF6"/>
    <w:rsid w:val="00326F8C"/>
    <w:rsid w:val="00333B61"/>
    <w:rsid w:val="00344648"/>
    <w:rsid w:val="0036412D"/>
    <w:rsid w:val="00382B46"/>
    <w:rsid w:val="003838E0"/>
    <w:rsid w:val="00387273"/>
    <w:rsid w:val="00387891"/>
    <w:rsid w:val="00394610"/>
    <w:rsid w:val="003B35F4"/>
    <w:rsid w:val="003D173B"/>
    <w:rsid w:val="003F158C"/>
    <w:rsid w:val="003F47C1"/>
    <w:rsid w:val="0040432B"/>
    <w:rsid w:val="00420EF6"/>
    <w:rsid w:val="0042109E"/>
    <w:rsid w:val="0043472D"/>
    <w:rsid w:val="0044299E"/>
    <w:rsid w:val="004433FC"/>
    <w:rsid w:val="004434B7"/>
    <w:rsid w:val="00450165"/>
    <w:rsid w:val="0046716C"/>
    <w:rsid w:val="00474AA8"/>
    <w:rsid w:val="00474D3F"/>
    <w:rsid w:val="00475035"/>
    <w:rsid w:val="004769D3"/>
    <w:rsid w:val="00477267"/>
    <w:rsid w:val="00480CBF"/>
    <w:rsid w:val="00483394"/>
    <w:rsid w:val="0048539C"/>
    <w:rsid w:val="0048544E"/>
    <w:rsid w:val="004A5EC5"/>
    <w:rsid w:val="004A71F2"/>
    <w:rsid w:val="004B214E"/>
    <w:rsid w:val="004B43DD"/>
    <w:rsid w:val="004B5023"/>
    <w:rsid w:val="004C480F"/>
    <w:rsid w:val="004C79B7"/>
    <w:rsid w:val="004D4962"/>
    <w:rsid w:val="004D4B24"/>
    <w:rsid w:val="004E7A93"/>
    <w:rsid w:val="004F1D23"/>
    <w:rsid w:val="004F50ED"/>
    <w:rsid w:val="004F5DAC"/>
    <w:rsid w:val="004F736D"/>
    <w:rsid w:val="0050375C"/>
    <w:rsid w:val="005159CA"/>
    <w:rsid w:val="00524D1C"/>
    <w:rsid w:val="0054004E"/>
    <w:rsid w:val="0054512D"/>
    <w:rsid w:val="005506D7"/>
    <w:rsid w:val="0056157B"/>
    <w:rsid w:val="005751C2"/>
    <w:rsid w:val="00575665"/>
    <w:rsid w:val="00576DBD"/>
    <w:rsid w:val="005839CF"/>
    <w:rsid w:val="00591B4E"/>
    <w:rsid w:val="005936C7"/>
    <w:rsid w:val="005C61B0"/>
    <w:rsid w:val="005D0AC7"/>
    <w:rsid w:val="005F0417"/>
    <w:rsid w:val="005F0F06"/>
    <w:rsid w:val="005F452B"/>
    <w:rsid w:val="00606D58"/>
    <w:rsid w:val="00612A76"/>
    <w:rsid w:val="00627F4E"/>
    <w:rsid w:val="006368D9"/>
    <w:rsid w:val="006371BF"/>
    <w:rsid w:val="0067225F"/>
    <w:rsid w:val="00686FFB"/>
    <w:rsid w:val="0069186D"/>
    <w:rsid w:val="006979ED"/>
    <w:rsid w:val="006A2630"/>
    <w:rsid w:val="006A3433"/>
    <w:rsid w:val="006A76E5"/>
    <w:rsid w:val="006A7B54"/>
    <w:rsid w:val="006C0881"/>
    <w:rsid w:val="006C3E4C"/>
    <w:rsid w:val="006C6B26"/>
    <w:rsid w:val="006D4F00"/>
    <w:rsid w:val="006D796D"/>
    <w:rsid w:val="006E2187"/>
    <w:rsid w:val="006E2324"/>
    <w:rsid w:val="006E2815"/>
    <w:rsid w:val="006F49FE"/>
    <w:rsid w:val="00712F3A"/>
    <w:rsid w:val="007327D7"/>
    <w:rsid w:val="00745933"/>
    <w:rsid w:val="0075307C"/>
    <w:rsid w:val="00756E3A"/>
    <w:rsid w:val="00761F8D"/>
    <w:rsid w:val="00772E2A"/>
    <w:rsid w:val="007840F1"/>
    <w:rsid w:val="00786A47"/>
    <w:rsid w:val="00793473"/>
    <w:rsid w:val="007975B3"/>
    <w:rsid w:val="007A29D7"/>
    <w:rsid w:val="007A774D"/>
    <w:rsid w:val="007B1D6F"/>
    <w:rsid w:val="007C46C2"/>
    <w:rsid w:val="007C5E9B"/>
    <w:rsid w:val="007D40A3"/>
    <w:rsid w:val="007F181B"/>
    <w:rsid w:val="007F7F0B"/>
    <w:rsid w:val="008004B6"/>
    <w:rsid w:val="00813590"/>
    <w:rsid w:val="00821E45"/>
    <w:rsid w:val="008220A3"/>
    <w:rsid w:val="00825B02"/>
    <w:rsid w:val="00831DD8"/>
    <w:rsid w:val="0083253F"/>
    <w:rsid w:val="00833E17"/>
    <w:rsid w:val="00836D80"/>
    <w:rsid w:val="008402B4"/>
    <w:rsid w:val="00864CAE"/>
    <w:rsid w:val="00870585"/>
    <w:rsid w:val="00874281"/>
    <w:rsid w:val="008743DD"/>
    <w:rsid w:val="00887F03"/>
    <w:rsid w:val="00897B26"/>
    <w:rsid w:val="008A3B84"/>
    <w:rsid w:val="008A6BDC"/>
    <w:rsid w:val="008A7368"/>
    <w:rsid w:val="008B48A5"/>
    <w:rsid w:val="008B5A7B"/>
    <w:rsid w:val="008C5A41"/>
    <w:rsid w:val="008E03E9"/>
    <w:rsid w:val="008F4445"/>
    <w:rsid w:val="008F478B"/>
    <w:rsid w:val="0090394A"/>
    <w:rsid w:val="0091429A"/>
    <w:rsid w:val="00915E9F"/>
    <w:rsid w:val="009232B4"/>
    <w:rsid w:val="00924E6F"/>
    <w:rsid w:val="00936121"/>
    <w:rsid w:val="00943044"/>
    <w:rsid w:val="00955CE6"/>
    <w:rsid w:val="00963761"/>
    <w:rsid w:val="009739D4"/>
    <w:rsid w:val="00977E9F"/>
    <w:rsid w:val="009A5102"/>
    <w:rsid w:val="009C3149"/>
    <w:rsid w:val="009C6846"/>
    <w:rsid w:val="009D15C5"/>
    <w:rsid w:val="009E47D8"/>
    <w:rsid w:val="009E7260"/>
    <w:rsid w:val="00A161AC"/>
    <w:rsid w:val="00A2185B"/>
    <w:rsid w:val="00A34BB6"/>
    <w:rsid w:val="00A51424"/>
    <w:rsid w:val="00A665FC"/>
    <w:rsid w:val="00A948C4"/>
    <w:rsid w:val="00A971FF"/>
    <w:rsid w:val="00AA4E4D"/>
    <w:rsid w:val="00AB7AC4"/>
    <w:rsid w:val="00AD1F02"/>
    <w:rsid w:val="00AD3F85"/>
    <w:rsid w:val="00AD434A"/>
    <w:rsid w:val="00AF3265"/>
    <w:rsid w:val="00B14EB0"/>
    <w:rsid w:val="00B15485"/>
    <w:rsid w:val="00B30CFA"/>
    <w:rsid w:val="00B37E07"/>
    <w:rsid w:val="00B47F58"/>
    <w:rsid w:val="00B63BDB"/>
    <w:rsid w:val="00B64407"/>
    <w:rsid w:val="00B656AC"/>
    <w:rsid w:val="00B66469"/>
    <w:rsid w:val="00B71E09"/>
    <w:rsid w:val="00BA38BA"/>
    <w:rsid w:val="00BA673F"/>
    <w:rsid w:val="00BB1D7A"/>
    <w:rsid w:val="00BB569C"/>
    <w:rsid w:val="00BC3EA5"/>
    <w:rsid w:val="00BD2BF2"/>
    <w:rsid w:val="00BF6E44"/>
    <w:rsid w:val="00C15753"/>
    <w:rsid w:val="00C20380"/>
    <w:rsid w:val="00C26445"/>
    <w:rsid w:val="00C32B47"/>
    <w:rsid w:val="00C42265"/>
    <w:rsid w:val="00C42CAA"/>
    <w:rsid w:val="00C469F3"/>
    <w:rsid w:val="00C4730C"/>
    <w:rsid w:val="00C5385D"/>
    <w:rsid w:val="00C613B6"/>
    <w:rsid w:val="00C6460B"/>
    <w:rsid w:val="00C6777A"/>
    <w:rsid w:val="00C84CDF"/>
    <w:rsid w:val="00CB08A6"/>
    <w:rsid w:val="00CB4533"/>
    <w:rsid w:val="00CC3158"/>
    <w:rsid w:val="00CE5D55"/>
    <w:rsid w:val="00CF5279"/>
    <w:rsid w:val="00D01BF4"/>
    <w:rsid w:val="00D02410"/>
    <w:rsid w:val="00D23D8B"/>
    <w:rsid w:val="00D27766"/>
    <w:rsid w:val="00D35425"/>
    <w:rsid w:val="00D478F7"/>
    <w:rsid w:val="00D76CB9"/>
    <w:rsid w:val="00D777A2"/>
    <w:rsid w:val="00D77D2A"/>
    <w:rsid w:val="00D942C1"/>
    <w:rsid w:val="00DA263F"/>
    <w:rsid w:val="00DA4A07"/>
    <w:rsid w:val="00DB2C35"/>
    <w:rsid w:val="00DB7D4B"/>
    <w:rsid w:val="00DD53C2"/>
    <w:rsid w:val="00DF0271"/>
    <w:rsid w:val="00DF3485"/>
    <w:rsid w:val="00DF4A62"/>
    <w:rsid w:val="00DF7203"/>
    <w:rsid w:val="00E154FB"/>
    <w:rsid w:val="00E164BA"/>
    <w:rsid w:val="00E233C2"/>
    <w:rsid w:val="00E2737E"/>
    <w:rsid w:val="00E36A03"/>
    <w:rsid w:val="00E4460E"/>
    <w:rsid w:val="00E45365"/>
    <w:rsid w:val="00E46C9F"/>
    <w:rsid w:val="00E5434D"/>
    <w:rsid w:val="00E551A4"/>
    <w:rsid w:val="00E557BB"/>
    <w:rsid w:val="00E62DD7"/>
    <w:rsid w:val="00E755BF"/>
    <w:rsid w:val="00E86BCC"/>
    <w:rsid w:val="00E86F49"/>
    <w:rsid w:val="00E958D2"/>
    <w:rsid w:val="00E95D80"/>
    <w:rsid w:val="00EA22B0"/>
    <w:rsid w:val="00EB3803"/>
    <w:rsid w:val="00EB4625"/>
    <w:rsid w:val="00EC323A"/>
    <w:rsid w:val="00EE5908"/>
    <w:rsid w:val="00EF4AD0"/>
    <w:rsid w:val="00F03D97"/>
    <w:rsid w:val="00F1561A"/>
    <w:rsid w:val="00F15ED1"/>
    <w:rsid w:val="00F4207B"/>
    <w:rsid w:val="00F44CBC"/>
    <w:rsid w:val="00F9730B"/>
    <w:rsid w:val="00FA5288"/>
    <w:rsid w:val="00FB3567"/>
    <w:rsid w:val="00FD1264"/>
    <w:rsid w:val="00FE3575"/>
    <w:rsid w:val="00FF2956"/>
    <w:rsid w:val="00FF3B0B"/>
    <w:rsid w:val="00FF4318"/>
    <w:rsid w:val="00FF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8013F-608A-4E0D-A07C-727A49D5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BB9"/>
    <w:rPr>
      <w:rFonts w:ascii="Tahoma" w:eastAsia="Calibri" w:hAnsi="Tahoma" w:cs="Tahoma"/>
      <w:sz w:val="16"/>
      <w:szCs w:val="16"/>
    </w:rPr>
  </w:style>
  <w:style w:type="table" w:styleId="TableGrid">
    <w:name w:val="Table Grid"/>
    <w:basedOn w:val="TableNormal"/>
    <w:uiPriority w:val="59"/>
    <w:rsid w:val="0029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E6F"/>
    <w:pPr>
      <w:ind w:left="720"/>
      <w:contextualSpacing/>
    </w:pPr>
  </w:style>
  <w:style w:type="paragraph" w:styleId="Header">
    <w:name w:val="header"/>
    <w:basedOn w:val="Normal"/>
    <w:link w:val="HeaderChar"/>
    <w:uiPriority w:val="99"/>
    <w:semiHidden/>
    <w:unhideWhenUsed/>
    <w:rsid w:val="00831D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1DD8"/>
    <w:rPr>
      <w:rFonts w:ascii="Calibri" w:eastAsia="Calibri" w:hAnsi="Calibri" w:cs="Times New Roman"/>
    </w:rPr>
  </w:style>
  <w:style w:type="paragraph" w:styleId="Footer">
    <w:name w:val="footer"/>
    <w:basedOn w:val="Normal"/>
    <w:link w:val="FooterChar"/>
    <w:uiPriority w:val="99"/>
    <w:unhideWhenUsed/>
    <w:rsid w:val="00831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D8"/>
    <w:rPr>
      <w:rFonts w:ascii="Calibri" w:eastAsia="Calibri" w:hAnsi="Calibri" w:cs="Times New Roman"/>
    </w:rPr>
  </w:style>
  <w:style w:type="table" w:customStyle="1" w:styleId="TableGrid1">
    <w:name w:val="Table Grid1"/>
    <w:basedOn w:val="TableNormal"/>
    <w:next w:val="TableGrid"/>
    <w:uiPriority w:val="59"/>
    <w:rsid w:val="004A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7609">
      <w:bodyDiv w:val="1"/>
      <w:marLeft w:val="0"/>
      <w:marRight w:val="0"/>
      <w:marTop w:val="0"/>
      <w:marBottom w:val="0"/>
      <w:divBdr>
        <w:top w:val="none" w:sz="0" w:space="0" w:color="auto"/>
        <w:left w:val="none" w:sz="0" w:space="0" w:color="auto"/>
        <w:bottom w:val="none" w:sz="0" w:space="0" w:color="auto"/>
        <w:right w:val="none" w:sz="0" w:space="0" w:color="auto"/>
      </w:divBdr>
    </w:div>
    <w:div w:id="557133466">
      <w:bodyDiv w:val="1"/>
      <w:marLeft w:val="0"/>
      <w:marRight w:val="0"/>
      <w:marTop w:val="0"/>
      <w:marBottom w:val="0"/>
      <w:divBdr>
        <w:top w:val="none" w:sz="0" w:space="0" w:color="auto"/>
        <w:left w:val="none" w:sz="0" w:space="0" w:color="auto"/>
        <w:bottom w:val="none" w:sz="0" w:space="0" w:color="auto"/>
        <w:right w:val="none" w:sz="0" w:space="0" w:color="auto"/>
      </w:divBdr>
    </w:div>
    <w:div w:id="7870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6AD7B-6D43-4E17-984B-E49647C0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mmaster001</dc:creator>
  <cp:keywords/>
  <dc:description/>
  <cp:lastModifiedBy>Mulligan, Janet</cp:lastModifiedBy>
  <cp:revision>3</cp:revision>
  <cp:lastPrinted>2015-09-17T14:54:00Z</cp:lastPrinted>
  <dcterms:created xsi:type="dcterms:W3CDTF">2015-11-30T16:14:00Z</dcterms:created>
  <dcterms:modified xsi:type="dcterms:W3CDTF">2015-12-01T09:41:00Z</dcterms:modified>
</cp:coreProperties>
</file>